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B7499" w:rsidRPr="005503F0" w:rsidRDefault="00C93C7B" w:rsidP="00AA06E8">
      <w:pPr>
        <w:jc w:val="center"/>
        <w:rPr>
          <w:rFonts w:ascii="Calibri" w:hAnsi="Calibri" w:cs="Calibri"/>
          <w:color w:val="000000"/>
        </w:rPr>
      </w:pPr>
      <w:r>
        <w:rPr>
          <w:noProof/>
        </w:rPr>
        <w:drawing>
          <wp:anchor distT="0" distB="0" distL="114300" distR="114300" simplePos="0" relativeHeight="251660288" behindDoc="0" locked="0" layoutInCell="1" allowOverlap="1">
            <wp:simplePos x="0" y="0"/>
            <wp:positionH relativeFrom="column">
              <wp:posOffset>2540</wp:posOffset>
            </wp:positionH>
            <wp:positionV relativeFrom="paragraph">
              <wp:posOffset>2540</wp:posOffset>
            </wp:positionV>
            <wp:extent cx="1484630" cy="1410970"/>
            <wp:effectExtent l="0" t="0" r="0"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4630" cy="14109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7499" w:rsidRPr="005503F0" w:rsidRDefault="00C93C7B" w:rsidP="00642E9D">
      <w:pPr>
        <w:ind w:left="5040" w:firstLine="720"/>
        <w:jc w:val="center"/>
        <w:rPr>
          <w:rFonts w:ascii="Calibri" w:hAnsi="Calibri" w:cs="Calibri"/>
          <w:color w:val="000000"/>
        </w:rPr>
      </w:pPr>
      <w:r w:rsidRPr="00600F2B">
        <w:rPr>
          <w:noProof/>
          <w:lang w:eastAsia="en-GB"/>
        </w:rPr>
        <w:drawing>
          <wp:inline distT="0" distB="0" distL="0" distR="0">
            <wp:extent cx="895350" cy="876300"/>
            <wp:effectExtent l="0" t="0" r="0" b="0"/>
            <wp:docPr id="1" name="Picture 1" descr="NST-logo-short-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T-logo-short-fin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5350" cy="876300"/>
                    </a:xfrm>
                    <a:prstGeom prst="rect">
                      <a:avLst/>
                    </a:prstGeom>
                    <a:noFill/>
                    <a:ln>
                      <a:noFill/>
                    </a:ln>
                  </pic:spPr>
                </pic:pic>
              </a:graphicData>
            </a:graphic>
          </wp:inline>
        </w:drawing>
      </w:r>
    </w:p>
    <w:p w:rsidR="001B7499" w:rsidRPr="005503F0" w:rsidRDefault="001B7499" w:rsidP="001B7499">
      <w:pPr>
        <w:rPr>
          <w:rFonts w:ascii="Calibri" w:hAnsi="Calibri" w:cs="Calibri"/>
          <w:color w:val="000000"/>
        </w:rPr>
      </w:pPr>
    </w:p>
    <w:p w:rsidR="001B7499" w:rsidRPr="005503F0" w:rsidRDefault="00C93C7B" w:rsidP="001B7499">
      <w:pPr>
        <w:rPr>
          <w:rFonts w:ascii="Calibri" w:hAnsi="Calibri" w:cs="Calibri"/>
          <w:color w:val="000000"/>
        </w:rPr>
      </w:pPr>
      <w:r>
        <w:rPr>
          <w:noProof/>
        </w:rPr>
        <mc:AlternateContent>
          <mc:Choice Requires="wps">
            <w:drawing>
              <wp:anchor distT="0" distB="0" distL="114300" distR="114300" simplePos="0" relativeHeight="251657216" behindDoc="0" locked="0" layoutInCell="1" allowOverlap="1">
                <wp:simplePos x="0" y="0"/>
                <wp:positionH relativeFrom="column">
                  <wp:posOffset>-257810</wp:posOffset>
                </wp:positionH>
                <wp:positionV relativeFrom="paragraph">
                  <wp:posOffset>133350</wp:posOffset>
                </wp:positionV>
                <wp:extent cx="6448425" cy="13049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304925"/>
                        </a:xfrm>
                        <a:prstGeom prst="rect">
                          <a:avLst/>
                        </a:prstGeom>
                        <a:noFill/>
                        <a:ln w="9525">
                          <a:noFill/>
                          <a:miter lim="800000"/>
                          <a:headEnd/>
                          <a:tailEnd/>
                        </a:ln>
                      </wps:spPr>
                      <wps:txbx>
                        <w:txbxContent>
                          <w:p w:rsidR="00CF3346" w:rsidRPr="00A3299F" w:rsidRDefault="00CF3346" w:rsidP="00D86C2C">
                            <w:pPr>
                              <w:spacing w:after="0" w:line="240" w:lineRule="auto"/>
                              <w:jc w:val="center"/>
                              <w:rPr>
                                <w:rFonts w:ascii="Calibri" w:hAnsi="Calibri" w:cs="Calibri"/>
                                <w:b/>
                                <w:sz w:val="40"/>
                                <w:szCs w:val="40"/>
                              </w:rPr>
                            </w:pPr>
                            <w:r w:rsidRPr="00A3299F">
                              <w:rPr>
                                <w:rFonts w:ascii="Calibri" w:hAnsi="Calibri" w:cs="Calibri"/>
                                <w:b/>
                                <w:sz w:val="40"/>
                                <w:szCs w:val="40"/>
                              </w:rPr>
                              <w:t>General Data Protection Regulation</w:t>
                            </w:r>
                            <w:r w:rsidR="00752AF5" w:rsidRPr="00A3299F">
                              <w:rPr>
                                <w:rFonts w:ascii="Calibri" w:hAnsi="Calibri" w:cs="Calibri"/>
                                <w:b/>
                                <w:sz w:val="40"/>
                                <w:szCs w:val="40"/>
                              </w:rPr>
                              <w:t xml:space="preserve"> </w:t>
                            </w:r>
                            <w:r w:rsidR="00372F6F" w:rsidRPr="00A3299F">
                              <w:rPr>
                                <w:rFonts w:ascii="Calibri" w:hAnsi="Calibri" w:cs="Calibri"/>
                                <w:b/>
                                <w:sz w:val="40"/>
                                <w:szCs w:val="40"/>
                              </w:rPr>
                              <w:t>(</w:t>
                            </w:r>
                            <w:r w:rsidRPr="00A3299F">
                              <w:rPr>
                                <w:rFonts w:ascii="Calibri" w:hAnsi="Calibri" w:cs="Calibri"/>
                                <w:b/>
                                <w:sz w:val="40"/>
                                <w:szCs w:val="40"/>
                              </w:rPr>
                              <w:t>GDPR</w:t>
                            </w:r>
                            <w:r w:rsidR="00372F6F" w:rsidRPr="00A3299F">
                              <w:rPr>
                                <w:rFonts w:ascii="Calibri" w:hAnsi="Calibri" w:cs="Calibri"/>
                                <w:b/>
                                <w:sz w:val="40"/>
                                <w:szCs w:val="40"/>
                              </w:rPr>
                              <w:t>)</w:t>
                            </w:r>
                          </w:p>
                          <w:p w:rsidR="00752AF5" w:rsidRPr="00A3299F" w:rsidRDefault="006E73C9" w:rsidP="00D86C2C">
                            <w:pPr>
                              <w:spacing w:after="0" w:line="240" w:lineRule="auto"/>
                              <w:jc w:val="center"/>
                              <w:rPr>
                                <w:rFonts w:ascii="Calibri" w:hAnsi="Calibri" w:cs="Calibri"/>
                                <w:b/>
                                <w:sz w:val="40"/>
                                <w:szCs w:val="40"/>
                              </w:rPr>
                            </w:pPr>
                            <w:r w:rsidRPr="00A3299F">
                              <w:rPr>
                                <w:rFonts w:ascii="Calibri" w:hAnsi="Calibri" w:cs="Calibri"/>
                                <w:b/>
                                <w:sz w:val="40"/>
                                <w:szCs w:val="40"/>
                              </w:rPr>
                              <w:t>Freedom of Information</w:t>
                            </w:r>
                            <w:r w:rsidR="00752AF5" w:rsidRPr="00A3299F">
                              <w:rPr>
                                <w:rFonts w:ascii="Calibri" w:hAnsi="Calibri" w:cs="Calibri"/>
                                <w:b/>
                                <w:sz w:val="40"/>
                                <w:szCs w:val="40"/>
                              </w:rPr>
                              <w:t xml:space="preserve">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3pt;margin-top:10.5pt;width:507.75pt;height:10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" filled="f" stroked="f">
                <v:textbox>
                  <w:txbxContent>
                    <w:p w:rsidR="00CF3346" w:rsidRPr="00A3299F" w:rsidRDefault="00CF3346" w:rsidP="00D86C2C">
                      <w:pPr>
                        <w:spacing w:after="0" w:line="240" w:lineRule="auto"/>
                        <w:jc w:val="center"/>
                        <w:rPr>
                          <w:rFonts w:ascii="Calibri" w:hAnsi="Calibri" w:cs="Calibri"/>
                          <w:b/>
                          <w:sz w:val="40"/>
                          <w:szCs w:val="40"/>
                        </w:rPr>
                      </w:pPr>
                      <w:r w:rsidRPr="00A3299F">
                        <w:rPr>
                          <w:rFonts w:ascii="Calibri" w:hAnsi="Calibri" w:cs="Calibri"/>
                          <w:b/>
                          <w:sz w:val="40"/>
                          <w:szCs w:val="40"/>
                        </w:rPr>
                        <w:t>General Data Protection Regulation</w:t>
                      </w:r>
                      <w:r w:rsidR="00752AF5" w:rsidRPr="00A3299F">
                        <w:rPr>
                          <w:rFonts w:ascii="Calibri" w:hAnsi="Calibri" w:cs="Calibri"/>
                          <w:b/>
                          <w:sz w:val="40"/>
                          <w:szCs w:val="40"/>
                        </w:rPr>
                        <w:t xml:space="preserve"> </w:t>
                      </w:r>
                      <w:r w:rsidR="00372F6F" w:rsidRPr="00A3299F">
                        <w:rPr>
                          <w:rFonts w:ascii="Calibri" w:hAnsi="Calibri" w:cs="Calibri"/>
                          <w:b/>
                          <w:sz w:val="40"/>
                          <w:szCs w:val="40"/>
                        </w:rPr>
                        <w:t>(</w:t>
                      </w:r>
                      <w:r w:rsidRPr="00A3299F">
                        <w:rPr>
                          <w:rFonts w:ascii="Calibri" w:hAnsi="Calibri" w:cs="Calibri"/>
                          <w:b/>
                          <w:sz w:val="40"/>
                          <w:szCs w:val="40"/>
                        </w:rPr>
                        <w:t>GDPR</w:t>
                      </w:r>
                      <w:r w:rsidR="00372F6F" w:rsidRPr="00A3299F">
                        <w:rPr>
                          <w:rFonts w:ascii="Calibri" w:hAnsi="Calibri" w:cs="Calibri"/>
                          <w:b/>
                          <w:sz w:val="40"/>
                          <w:szCs w:val="40"/>
                        </w:rPr>
                        <w:t>)</w:t>
                      </w:r>
                    </w:p>
                    <w:p w:rsidR="00752AF5" w:rsidRPr="00A3299F" w:rsidRDefault="006E73C9" w:rsidP="00D86C2C">
                      <w:pPr>
                        <w:spacing w:after="0" w:line="240" w:lineRule="auto"/>
                        <w:jc w:val="center"/>
                        <w:rPr>
                          <w:rFonts w:ascii="Calibri" w:hAnsi="Calibri" w:cs="Calibri"/>
                          <w:b/>
                          <w:sz w:val="40"/>
                          <w:szCs w:val="40"/>
                        </w:rPr>
                      </w:pPr>
                      <w:r w:rsidRPr="00A3299F">
                        <w:rPr>
                          <w:rFonts w:ascii="Calibri" w:hAnsi="Calibri" w:cs="Calibri"/>
                          <w:b/>
                          <w:sz w:val="40"/>
                          <w:szCs w:val="40"/>
                        </w:rPr>
                        <w:t>Freedom of Information</w:t>
                      </w:r>
                      <w:r w:rsidR="00752AF5" w:rsidRPr="00A3299F">
                        <w:rPr>
                          <w:rFonts w:ascii="Calibri" w:hAnsi="Calibri" w:cs="Calibri"/>
                          <w:b/>
                          <w:sz w:val="40"/>
                          <w:szCs w:val="40"/>
                        </w:rPr>
                        <w:t xml:space="preserve"> Policy</w:t>
                      </w:r>
                    </w:p>
                  </w:txbxContent>
                </v:textbox>
              </v:shape>
            </w:pict>
          </mc:Fallback>
        </mc:AlternateContent>
      </w:r>
    </w:p>
    <w:p w:rsidR="001B7499" w:rsidRPr="005503F0" w:rsidRDefault="001B7499" w:rsidP="001B7499">
      <w:pPr>
        <w:rPr>
          <w:rFonts w:ascii="Calibri" w:hAnsi="Calibri" w:cs="Calibri"/>
          <w:color w:val="000000"/>
        </w:rPr>
      </w:pPr>
    </w:p>
    <w:p w:rsidR="001B7499" w:rsidRPr="005503F0" w:rsidRDefault="001B7499" w:rsidP="001B7499">
      <w:pPr>
        <w:rPr>
          <w:rFonts w:ascii="Calibri" w:hAnsi="Calibri" w:cs="Calibri"/>
          <w:color w:val="000000"/>
        </w:rPr>
      </w:pPr>
    </w:p>
    <w:p w:rsidR="001B7499" w:rsidRPr="005503F0" w:rsidRDefault="001B7499" w:rsidP="001B7499">
      <w:pPr>
        <w:rPr>
          <w:rFonts w:ascii="Calibri" w:hAnsi="Calibri" w:cs="Calibri"/>
          <w:color w:val="000000"/>
        </w:rPr>
      </w:pPr>
    </w:p>
    <w:p w:rsidR="00A3299F" w:rsidRPr="000431A1" w:rsidRDefault="00A3299F" w:rsidP="00A3299F">
      <w:pPr>
        <w:rPr>
          <w:rFonts w:ascii="Calibri" w:hAnsi="Calibri" w:cs="Calibri"/>
        </w:rPr>
      </w:pPr>
    </w:p>
    <w:tbl>
      <w:tblPr>
        <w:tblW w:w="0" w:type="auto"/>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57" w:type="dxa"/>
          <w:right w:w="57" w:type="dxa"/>
        </w:tblCellMar>
        <w:tblLook w:val="04A0" w:firstRow="1" w:lastRow="0" w:firstColumn="1" w:lastColumn="0" w:noHBand="0" w:noVBand="1"/>
      </w:tblPr>
      <w:tblGrid>
        <w:gridCol w:w="2157"/>
        <w:gridCol w:w="2315"/>
        <w:gridCol w:w="2141"/>
        <w:gridCol w:w="1831"/>
      </w:tblGrid>
      <w:tr w:rsidR="00A3299F" w:rsidRPr="005503F0" w:rsidTr="005503F0">
        <w:tc>
          <w:tcPr>
            <w:tcW w:w="8444" w:type="dxa"/>
            <w:gridSpan w:val="4"/>
            <w:tcBorders>
              <w:top w:val="single" w:sz="4" w:space="0" w:color="BFBFBF"/>
              <w:left w:val="single" w:sz="4" w:space="0" w:color="BFBFBF"/>
              <w:bottom w:val="single" w:sz="4" w:space="0" w:color="BFBFBF"/>
              <w:right w:val="single" w:sz="4" w:space="0" w:color="BFBFBF"/>
            </w:tcBorders>
            <w:hideMark/>
          </w:tcPr>
          <w:p w:rsidR="00A3299F" w:rsidRPr="005503F0" w:rsidRDefault="00A3299F">
            <w:pPr>
              <w:spacing w:after="0" w:line="240" w:lineRule="auto"/>
              <w:rPr>
                <w:rFonts w:ascii="Calibri" w:hAnsi="Calibri" w:cs="Calibri"/>
                <w:color w:val="000000"/>
              </w:rPr>
            </w:pPr>
            <w:r w:rsidRPr="005503F0">
              <w:rPr>
                <w:rFonts w:ascii="Calibri" w:hAnsi="Calibri" w:cs="Calibri"/>
                <w:color w:val="000000"/>
              </w:rPr>
              <w:t>DOCUMENT PROVENANCE</w:t>
            </w:r>
          </w:p>
        </w:tc>
      </w:tr>
      <w:tr w:rsidR="00A3299F" w:rsidRPr="005503F0" w:rsidTr="005503F0">
        <w:tc>
          <w:tcPr>
            <w:tcW w:w="2157" w:type="dxa"/>
            <w:tcBorders>
              <w:top w:val="single" w:sz="4" w:space="0" w:color="BFBFBF"/>
              <w:left w:val="single" w:sz="4" w:space="0" w:color="BFBFBF"/>
              <w:bottom w:val="single" w:sz="4" w:space="0" w:color="BFBFBF"/>
              <w:right w:val="single" w:sz="4" w:space="0" w:color="BFBFBF"/>
            </w:tcBorders>
            <w:hideMark/>
          </w:tcPr>
          <w:p w:rsidR="00A3299F" w:rsidRPr="005503F0" w:rsidRDefault="00A3299F">
            <w:pPr>
              <w:spacing w:after="0" w:line="240" w:lineRule="auto"/>
              <w:rPr>
                <w:rFonts w:ascii="Calibri" w:hAnsi="Calibri" w:cs="Calibri"/>
                <w:color w:val="000000"/>
              </w:rPr>
            </w:pPr>
            <w:r w:rsidRPr="005503F0">
              <w:rPr>
                <w:rFonts w:ascii="Calibri" w:hAnsi="Calibri" w:cs="Calibri"/>
                <w:color w:val="000000"/>
              </w:rPr>
              <w:t xml:space="preserve">Status </w:t>
            </w:r>
          </w:p>
        </w:tc>
        <w:tc>
          <w:tcPr>
            <w:tcW w:w="2315" w:type="dxa"/>
            <w:tcBorders>
              <w:top w:val="single" w:sz="4" w:space="0" w:color="BFBFBF"/>
              <w:left w:val="single" w:sz="4" w:space="0" w:color="BFBFBF"/>
              <w:bottom w:val="single" w:sz="4" w:space="0" w:color="BFBFBF"/>
              <w:right w:val="single" w:sz="4" w:space="0" w:color="BFBFBF"/>
            </w:tcBorders>
            <w:hideMark/>
          </w:tcPr>
          <w:p w:rsidR="00A3299F" w:rsidRPr="005503F0" w:rsidRDefault="00A3299F">
            <w:pPr>
              <w:spacing w:after="0" w:line="240" w:lineRule="auto"/>
              <w:rPr>
                <w:rFonts w:ascii="Calibri" w:hAnsi="Calibri" w:cs="Calibri"/>
                <w:color w:val="000000"/>
              </w:rPr>
            </w:pPr>
            <w:r w:rsidRPr="005503F0">
              <w:rPr>
                <w:rFonts w:ascii="Calibri" w:hAnsi="Calibri" w:cs="Calibri"/>
                <w:color w:val="000000"/>
              </w:rPr>
              <w:t>Draft</w:t>
            </w:r>
          </w:p>
        </w:tc>
        <w:tc>
          <w:tcPr>
            <w:tcW w:w="2141" w:type="dxa"/>
            <w:tcBorders>
              <w:top w:val="single" w:sz="4" w:space="0" w:color="BFBFBF"/>
              <w:left w:val="single" w:sz="4" w:space="0" w:color="BFBFBF"/>
              <w:bottom w:val="single" w:sz="4" w:space="0" w:color="BFBFBF"/>
              <w:right w:val="single" w:sz="4" w:space="0" w:color="BFBFBF"/>
            </w:tcBorders>
            <w:hideMark/>
          </w:tcPr>
          <w:p w:rsidR="00A3299F" w:rsidRPr="005503F0" w:rsidRDefault="00A3299F">
            <w:pPr>
              <w:spacing w:after="0" w:line="240" w:lineRule="auto"/>
              <w:rPr>
                <w:rFonts w:ascii="Calibri" w:hAnsi="Calibri" w:cs="Calibri"/>
                <w:color w:val="000000"/>
              </w:rPr>
            </w:pPr>
            <w:r w:rsidRPr="005503F0">
              <w:rPr>
                <w:rFonts w:ascii="Calibri" w:hAnsi="Calibri" w:cs="Calibri"/>
                <w:color w:val="000000"/>
              </w:rPr>
              <w:t>Current version no.</w:t>
            </w:r>
          </w:p>
        </w:tc>
        <w:tc>
          <w:tcPr>
            <w:tcW w:w="1831" w:type="dxa"/>
            <w:tcBorders>
              <w:top w:val="single" w:sz="4" w:space="0" w:color="BFBFBF"/>
              <w:left w:val="single" w:sz="4" w:space="0" w:color="BFBFBF"/>
              <w:bottom w:val="single" w:sz="4" w:space="0" w:color="BFBFBF"/>
              <w:right w:val="single" w:sz="4" w:space="0" w:color="BFBFBF"/>
            </w:tcBorders>
            <w:hideMark/>
          </w:tcPr>
          <w:p w:rsidR="00A3299F" w:rsidRPr="005503F0" w:rsidRDefault="00A3299F">
            <w:pPr>
              <w:spacing w:after="0" w:line="240" w:lineRule="auto"/>
              <w:rPr>
                <w:rFonts w:ascii="Calibri" w:hAnsi="Calibri" w:cs="Calibri"/>
                <w:color w:val="000000"/>
              </w:rPr>
            </w:pPr>
            <w:r w:rsidRPr="005503F0">
              <w:rPr>
                <w:rFonts w:ascii="Calibri" w:hAnsi="Calibri" w:cs="Calibri"/>
                <w:color w:val="000000"/>
              </w:rPr>
              <w:t>1.0</w:t>
            </w:r>
          </w:p>
        </w:tc>
      </w:tr>
      <w:tr w:rsidR="00A3299F" w:rsidRPr="005503F0" w:rsidTr="005503F0">
        <w:tc>
          <w:tcPr>
            <w:tcW w:w="2157" w:type="dxa"/>
            <w:tcBorders>
              <w:top w:val="single" w:sz="4" w:space="0" w:color="BFBFBF"/>
              <w:left w:val="single" w:sz="4" w:space="0" w:color="BFBFBF"/>
              <w:bottom w:val="single" w:sz="4" w:space="0" w:color="BFBFBF"/>
              <w:right w:val="single" w:sz="4" w:space="0" w:color="BFBFBF"/>
            </w:tcBorders>
            <w:hideMark/>
          </w:tcPr>
          <w:p w:rsidR="00A3299F" w:rsidRPr="005503F0" w:rsidRDefault="00A3299F">
            <w:pPr>
              <w:spacing w:after="0" w:line="240" w:lineRule="auto"/>
              <w:rPr>
                <w:rFonts w:ascii="Calibri" w:hAnsi="Calibri" w:cs="Calibri"/>
                <w:color w:val="000000"/>
              </w:rPr>
            </w:pPr>
            <w:r w:rsidRPr="005503F0">
              <w:rPr>
                <w:rFonts w:ascii="Calibri" w:hAnsi="Calibri" w:cs="Calibri"/>
                <w:color w:val="000000"/>
              </w:rPr>
              <w:t>Organisation</w:t>
            </w:r>
          </w:p>
        </w:tc>
        <w:tc>
          <w:tcPr>
            <w:tcW w:w="2315" w:type="dxa"/>
            <w:tcBorders>
              <w:top w:val="single" w:sz="4" w:space="0" w:color="BFBFBF"/>
              <w:left w:val="single" w:sz="4" w:space="0" w:color="BFBFBF"/>
              <w:bottom w:val="single" w:sz="4" w:space="0" w:color="BFBFBF"/>
              <w:right w:val="single" w:sz="4" w:space="0" w:color="BFBFBF"/>
            </w:tcBorders>
            <w:hideMark/>
          </w:tcPr>
          <w:p w:rsidR="00A3299F" w:rsidRPr="005503F0" w:rsidRDefault="00A3299F">
            <w:pPr>
              <w:spacing w:after="0" w:line="240" w:lineRule="auto"/>
              <w:rPr>
                <w:rFonts w:ascii="Calibri" w:hAnsi="Calibri" w:cs="Calibri"/>
                <w:color w:val="000000"/>
              </w:rPr>
            </w:pPr>
            <w:r w:rsidRPr="005503F0">
              <w:rPr>
                <w:rFonts w:ascii="Calibri" w:hAnsi="Calibri" w:cs="Calibri"/>
                <w:color w:val="000000"/>
              </w:rPr>
              <w:t>NCC/NST</w:t>
            </w:r>
          </w:p>
        </w:tc>
        <w:tc>
          <w:tcPr>
            <w:tcW w:w="2141" w:type="dxa"/>
            <w:tcBorders>
              <w:top w:val="single" w:sz="4" w:space="0" w:color="BFBFBF"/>
              <w:left w:val="single" w:sz="4" w:space="0" w:color="BFBFBF"/>
              <w:bottom w:val="single" w:sz="4" w:space="0" w:color="BFBFBF"/>
              <w:right w:val="single" w:sz="4" w:space="0" w:color="BFBFBF"/>
            </w:tcBorders>
            <w:hideMark/>
          </w:tcPr>
          <w:p w:rsidR="00A3299F" w:rsidRPr="005503F0" w:rsidRDefault="00A3299F">
            <w:pPr>
              <w:spacing w:after="0" w:line="240" w:lineRule="auto"/>
              <w:rPr>
                <w:rFonts w:ascii="Calibri" w:hAnsi="Calibri" w:cs="Calibri"/>
                <w:color w:val="000000"/>
              </w:rPr>
            </w:pPr>
            <w:r w:rsidRPr="005503F0">
              <w:rPr>
                <w:rFonts w:ascii="Calibri" w:hAnsi="Calibri" w:cs="Calibri"/>
                <w:color w:val="000000"/>
              </w:rPr>
              <w:t>Version date</w:t>
            </w:r>
          </w:p>
        </w:tc>
        <w:tc>
          <w:tcPr>
            <w:tcW w:w="1831" w:type="dxa"/>
            <w:tcBorders>
              <w:top w:val="single" w:sz="4" w:space="0" w:color="BFBFBF"/>
              <w:left w:val="single" w:sz="4" w:space="0" w:color="BFBFBF"/>
              <w:bottom w:val="single" w:sz="4" w:space="0" w:color="BFBFBF"/>
              <w:right w:val="single" w:sz="4" w:space="0" w:color="BFBFBF"/>
            </w:tcBorders>
            <w:hideMark/>
          </w:tcPr>
          <w:p w:rsidR="00A3299F" w:rsidRPr="005503F0" w:rsidRDefault="00A3299F">
            <w:pPr>
              <w:spacing w:after="0" w:line="240" w:lineRule="auto"/>
              <w:rPr>
                <w:rFonts w:ascii="Calibri" w:hAnsi="Calibri" w:cs="Calibri"/>
                <w:color w:val="000000"/>
              </w:rPr>
            </w:pPr>
            <w:r w:rsidRPr="005503F0">
              <w:rPr>
                <w:rFonts w:ascii="Calibri" w:hAnsi="Calibri" w:cs="Calibri"/>
                <w:color w:val="000000"/>
              </w:rPr>
              <w:t>February 2021</w:t>
            </w:r>
          </w:p>
        </w:tc>
      </w:tr>
      <w:tr w:rsidR="00A3299F" w:rsidRPr="005503F0" w:rsidTr="005503F0">
        <w:tc>
          <w:tcPr>
            <w:tcW w:w="2157" w:type="dxa"/>
            <w:tcBorders>
              <w:top w:val="single" w:sz="4" w:space="0" w:color="BFBFBF"/>
              <w:left w:val="single" w:sz="4" w:space="0" w:color="BFBFBF"/>
              <w:bottom w:val="single" w:sz="4" w:space="0" w:color="BFBFBF"/>
              <w:right w:val="single" w:sz="4" w:space="0" w:color="BFBFBF"/>
            </w:tcBorders>
            <w:hideMark/>
          </w:tcPr>
          <w:p w:rsidR="00A3299F" w:rsidRPr="005503F0" w:rsidRDefault="00A3299F">
            <w:pPr>
              <w:spacing w:after="0" w:line="240" w:lineRule="auto"/>
              <w:rPr>
                <w:rFonts w:ascii="Calibri" w:eastAsia="Times New Roman" w:hAnsi="Calibri" w:cs="Calibri"/>
                <w:color w:val="000000"/>
              </w:rPr>
            </w:pPr>
            <w:r w:rsidRPr="005503F0">
              <w:rPr>
                <w:rFonts w:ascii="Calibri" w:hAnsi="Calibri" w:cs="Calibri"/>
                <w:color w:val="000000"/>
              </w:rPr>
              <w:t>Author</w:t>
            </w:r>
          </w:p>
        </w:tc>
        <w:tc>
          <w:tcPr>
            <w:tcW w:w="2315" w:type="dxa"/>
            <w:tcBorders>
              <w:top w:val="single" w:sz="4" w:space="0" w:color="BFBFBF"/>
              <w:left w:val="single" w:sz="4" w:space="0" w:color="BFBFBF"/>
              <w:bottom w:val="single" w:sz="4" w:space="0" w:color="BFBFBF"/>
              <w:right w:val="single" w:sz="4" w:space="0" w:color="BFBFBF"/>
            </w:tcBorders>
            <w:hideMark/>
          </w:tcPr>
          <w:p w:rsidR="00A3299F" w:rsidRPr="005503F0" w:rsidRDefault="00A3299F">
            <w:pPr>
              <w:spacing w:after="0" w:line="240" w:lineRule="auto"/>
              <w:rPr>
                <w:rFonts w:ascii="Calibri" w:hAnsi="Calibri" w:cs="Calibri"/>
                <w:color w:val="000000"/>
              </w:rPr>
            </w:pPr>
            <w:r w:rsidRPr="005503F0">
              <w:rPr>
                <w:rFonts w:ascii="Calibri" w:hAnsi="Calibri" w:cs="Calibri"/>
                <w:color w:val="000000"/>
              </w:rPr>
              <w:t>Jeremy Lyn-Cook/NST</w:t>
            </w:r>
          </w:p>
        </w:tc>
        <w:tc>
          <w:tcPr>
            <w:tcW w:w="2141" w:type="dxa"/>
            <w:tcBorders>
              <w:top w:val="single" w:sz="4" w:space="0" w:color="BFBFBF"/>
              <w:left w:val="single" w:sz="4" w:space="0" w:color="BFBFBF"/>
              <w:bottom w:val="single" w:sz="4" w:space="0" w:color="BFBFBF"/>
              <w:right w:val="single" w:sz="4" w:space="0" w:color="BFBFBF"/>
            </w:tcBorders>
            <w:hideMark/>
          </w:tcPr>
          <w:p w:rsidR="00A3299F" w:rsidRPr="005503F0" w:rsidRDefault="00A3299F">
            <w:pPr>
              <w:spacing w:after="0" w:line="240" w:lineRule="auto"/>
              <w:rPr>
                <w:rFonts w:ascii="Calibri" w:hAnsi="Calibri" w:cs="Calibri"/>
                <w:color w:val="000000"/>
              </w:rPr>
            </w:pPr>
            <w:r w:rsidRPr="005503F0">
              <w:rPr>
                <w:rFonts w:ascii="Calibri" w:hAnsi="Calibri" w:cs="Calibri"/>
                <w:color w:val="000000"/>
              </w:rPr>
              <w:t>Approved by (If applicable)</w:t>
            </w:r>
          </w:p>
        </w:tc>
        <w:tc>
          <w:tcPr>
            <w:tcW w:w="1831" w:type="dxa"/>
            <w:tcBorders>
              <w:top w:val="single" w:sz="4" w:space="0" w:color="BFBFBF"/>
              <w:left w:val="single" w:sz="4" w:space="0" w:color="BFBFBF"/>
              <w:bottom w:val="single" w:sz="4" w:space="0" w:color="BFBFBF"/>
              <w:right w:val="single" w:sz="4" w:space="0" w:color="BFBFBF"/>
            </w:tcBorders>
          </w:tcPr>
          <w:p w:rsidR="00A3299F" w:rsidRPr="005503F0" w:rsidRDefault="00A3299F">
            <w:pPr>
              <w:spacing w:after="0" w:line="240" w:lineRule="auto"/>
              <w:rPr>
                <w:rFonts w:ascii="Calibri" w:hAnsi="Calibri" w:cs="Calibri"/>
                <w:color w:val="000000"/>
              </w:rPr>
            </w:pPr>
          </w:p>
        </w:tc>
      </w:tr>
      <w:tr w:rsidR="00A3299F" w:rsidRPr="005503F0" w:rsidTr="005503F0">
        <w:tc>
          <w:tcPr>
            <w:tcW w:w="2157" w:type="dxa"/>
            <w:tcBorders>
              <w:top w:val="single" w:sz="4" w:space="0" w:color="BFBFBF"/>
              <w:left w:val="single" w:sz="4" w:space="0" w:color="BFBFBF"/>
              <w:bottom w:val="single" w:sz="4" w:space="0" w:color="BFBFBF"/>
              <w:right w:val="single" w:sz="4" w:space="0" w:color="BFBFBF"/>
            </w:tcBorders>
            <w:hideMark/>
          </w:tcPr>
          <w:p w:rsidR="00A3299F" w:rsidRPr="005503F0" w:rsidRDefault="00A3299F">
            <w:pPr>
              <w:spacing w:after="0" w:line="240" w:lineRule="auto"/>
              <w:rPr>
                <w:rFonts w:ascii="Calibri" w:hAnsi="Calibri" w:cs="Calibri"/>
                <w:color w:val="000000"/>
              </w:rPr>
            </w:pPr>
            <w:r w:rsidRPr="005503F0">
              <w:rPr>
                <w:rFonts w:ascii="Calibri" w:hAnsi="Calibri" w:cs="Calibri"/>
                <w:color w:val="000000"/>
              </w:rPr>
              <w:t>Audience</w:t>
            </w:r>
          </w:p>
        </w:tc>
        <w:tc>
          <w:tcPr>
            <w:tcW w:w="2315" w:type="dxa"/>
            <w:tcBorders>
              <w:top w:val="single" w:sz="4" w:space="0" w:color="BFBFBF"/>
              <w:left w:val="single" w:sz="4" w:space="0" w:color="BFBFBF"/>
              <w:bottom w:val="single" w:sz="4" w:space="0" w:color="BFBFBF"/>
              <w:right w:val="single" w:sz="4" w:space="0" w:color="BFBFBF"/>
            </w:tcBorders>
            <w:hideMark/>
          </w:tcPr>
          <w:p w:rsidR="00A3299F" w:rsidRPr="005503F0" w:rsidRDefault="00A3299F">
            <w:pPr>
              <w:spacing w:after="0" w:line="240" w:lineRule="auto"/>
              <w:rPr>
                <w:rFonts w:ascii="Calibri" w:hAnsi="Calibri" w:cs="Calibri"/>
                <w:color w:val="000000"/>
              </w:rPr>
            </w:pPr>
            <w:r w:rsidRPr="005503F0">
              <w:rPr>
                <w:rFonts w:ascii="Calibri" w:hAnsi="Calibri" w:cs="Calibri"/>
                <w:color w:val="000000"/>
              </w:rPr>
              <w:t>Anyone</w:t>
            </w:r>
          </w:p>
        </w:tc>
        <w:tc>
          <w:tcPr>
            <w:tcW w:w="2141" w:type="dxa"/>
            <w:tcBorders>
              <w:top w:val="single" w:sz="4" w:space="0" w:color="BFBFBF"/>
              <w:left w:val="single" w:sz="4" w:space="0" w:color="BFBFBF"/>
              <w:bottom w:val="single" w:sz="4" w:space="0" w:color="BFBFBF"/>
              <w:right w:val="single" w:sz="4" w:space="0" w:color="BFBFBF"/>
            </w:tcBorders>
            <w:hideMark/>
          </w:tcPr>
          <w:p w:rsidR="00A3299F" w:rsidRPr="005503F0" w:rsidRDefault="00A3299F">
            <w:pPr>
              <w:spacing w:after="0" w:line="240" w:lineRule="auto"/>
              <w:rPr>
                <w:rFonts w:ascii="Calibri" w:hAnsi="Calibri" w:cs="Calibri"/>
                <w:color w:val="000000"/>
              </w:rPr>
            </w:pPr>
            <w:r w:rsidRPr="005503F0">
              <w:rPr>
                <w:rFonts w:ascii="Calibri" w:hAnsi="Calibri" w:cs="Calibri"/>
                <w:color w:val="000000"/>
              </w:rPr>
              <w:t>Approval date</w:t>
            </w:r>
          </w:p>
        </w:tc>
        <w:tc>
          <w:tcPr>
            <w:tcW w:w="1831" w:type="dxa"/>
            <w:tcBorders>
              <w:top w:val="single" w:sz="4" w:space="0" w:color="BFBFBF"/>
              <w:left w:val="single" w:sz="4" w:space="0" w:color="BFBFBF"/>
              <w:bottom w:val="single" w:sz="4" w:space="0" w:color="BFBFBF"/>
              <w:right w:val="single" w:sz="4" w:space="0" w:color="BFBFBF"/>
            </w:tcBorders>
          </w:tcPr>
          <w:p w:rsidR="00A3299F" w:rsidRPr="005503F0" w:rsidRDefault="00A3299F">
            <w:pPr>
              <w:spacing w:after="0" w:line="240" w:lineRule="auto"/>
              <w:rPr>
                <w:rFonts w:ascii="Calibri" w:hAnsi="Calibri" w:cs="Calibri"/>
                <w:color w:val="000000"/>
              </w:rPr>
            </w:pPr>
          </w:p>
        </w:tc>
      </w:tr>
      <w:tr w:rsidR="00A3299F" w:rsidRPr="005503F0" w:rsidTr="005503F0">
        <w:tc>
          <w:tcPr>
            <w:tcW w:w="2157" w:type="dxa"/>
            <w:tcBorders>
              <w:top w:val="single" w:sz="4" w:space="0" w:color="BFBFBF"/>
              <w:left w:val="single" w:sz="4" w:space="0" w:color="BFBFBF"/>
              <w:bottom w:val="single" w:sz="4" w:space="0" w:color="BFBFBF"/>
              <w:right w:val="single" w:sz="4" w:space="0" w:color="BFBFBF"/>
            </w:tcBorders>
            <w:hideMark/>
          </w:tcPr>
          <w:p w:rsidR="00A3299F" w:rsidRPr="005503F0" w:rsidRDefault="00A3299F">
            <w:pPr>
              <w:spacing w:after="0" w:line="240" w:lineRule="auto"/>
              <w:rPr>
                <w:rFonts w:ascii="Calibri" w:hAnsi="Calibri" w:cs="Calibri"/>
                <w:color w:val="000000"/>
              </w:rPr>
            </w:pPr>
            <w:r w:rsidRPr="005503F0">
              <w:rPr>
                <w:rFonts w:ascii="Calibri" w:hAnsi="Calibri" w:cs="Calibri"/>
                <w:color w:val="000000"/>
              </w:rPr>
              <w:t>Security classification</w:t>
            </w:r>
          </w:p>
        </w:tc>
        <w:tc>
          <w:tcPr>
            <w:tcW w:w="2315" w:type="dxa"/>
            <w:tcBorders>
              <w:top w:val="single" w:sz="4" w:space="0" w:color="BFBFBF"/>
              <w:left w:val="single" w:sz="4" w:space="0" w:color="BFBFBF"/>
              <w:bottom w:val="single" w:sz="4" w:space="0" w:color="BFBFBF"/>
              <w:right w:val="single" w:sz="4" w:space="0" w:color="BFBFBF"/>
            </w:tcBorders>
            <w:hideMark/>
          </w:tcPr>
          <w:p w:rsidR="00A3299F" w:rsidRPr="005503F0" w:rsidRDefault="00A3299F">
            <w:pPr>
              <w:spacing w:after="0" w:line="240" w:lineRule="auto"/>
              <w:rPr>
                <w:rFonts w:ascii="Calibri" w:hAnsi="Calibri" w:cs="Calibri"/>
                <w:color w:val="000000"/>
              </w:rPr>
            </w:pPr>
            <w:r w:rsidRPr="005503F0">
              <w:rPr>
                <w:rFonts w:ascii="Calibri" w:hAnsi="Calibri" w:cs="Calibri"/>
                <w:color w:val="000000"/>
              </w:rPr>
              <w:t>OFFICIAL</w:t>
            </w:r>
          </w:p>
        </w:tc>
        <w:tc>
          <w:tcPr>
            <w:tcW w:w="2141" w:type="dxa"/>
            <w:tcBorders>
              <w:top w:val="single" w:sz="4" w:space="0" w:color="BFBFBF"/>
              <w:left w:val="single" w:sz="4" w:space="0" w:color="BFBFBF"/>
              <w:bottom w:val="single" w:sz="4" w:space="0" w:color="BFBFBF"/>
              <w:right w:val="single" w:sz="4" w:space="0" w:color="BFBFBF"/>
            </w:tcBorders>
            <w:hideMark/>
          </w:tcPr>
          <w:p w:rsidR="00A3299F" w:rsidRPr="005503F0" w:rsidRDefault="00A3299F">
            <w:pPr>
              <w:spacing w:after="0" w:line="240" w:lineRule="auto"/>
              <w:rPr>
                <w:rFonts w:ascii="Calibri" w:hAnsi="Calibri" w:cs="Calibri"/>
                <w:color w:val="000000"/>
              </w:rPr>
            </w:pPr>
            <w:r w:rsidRPr="005503F0">
              <w:rPr>
                <w:rFonts w:ascii="Calibri" w:hAnsi="Calibri" w:cs="Calibri"/>
                <w:color w:val="000000"/>
              </w:rPr>
              <w:t>Next review date</w:t>
            </w:r>
          </w:p>
        </w:tc>
        <w:tc>
          <w:tcPr>
            <w:tcW w:w="1831" w:type="dxa"/>
            <w:tcBorders>
              <w:top w:val="single" w:sz="4" w:space="0" w:color="BFBFBF"/>
              <w:left w:val="single" w:sz="4" w:space="0" w:color="BFBFBF"/>
              <w:bottom w:val="single" w:sz="4" w:space="0" w:color="BFBFBF"/>
              <w:right w:val="single" w:sz="4" w:space="0" w:color="BFBFBF"/>
            </w:tcBorders>
            <w:hideMark/>
          </w:tcPr>
          <w:p w:rsidR="00A3299F" w:rsidRPr="005503F0" w:rsidRDefault="00A3299F">
            <w:pPr>
              <w:spacing w:after="0" w:line="240" w:lineRule="auto"/>
              <w:rPr>
                <w:rFonts w:ascii="Calibri" w:hAnsi="Calibri" w:cs="Calibri"/>
                <w:color w:val="000000"/>
              </w:rPr>
            </w:pPr>
            <w:r w:rsidRPr="005503F0">
              <w:rPr>
                <w:rFonts w:ascii="Calibri" w:hAnsi="Calibri" w:cs="Calibri"/>
                <w:color w:val="000000"/>
              </w:rPr>
              <w:t>Annually</w:t>
            </w:r>
          </w:p>
        </w:tc>
      </w:tr>
    </w:tbl>
    <w:p w:rsidR="00A3299F" w:rsidRPr="005503F0" w:rsidRDefault="00A3299F" w:rsidP="00A3299F">
      <w:pPr>
        <w:spacing w:after="0" w:line="240" w:lineRule="auto"/>
        <w:rPr>
          <w:rFonts w:ascii="Calibri" w:eastAsia="Times New Roman" w:hAnsi="Calibri" w:cs="Calibri"/>
          <w:color w:val="000000"/>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53"/>
        <w:gridCol w:w="1260"/>
        <w:gridCol w:w="1800"/>
        <w:gridCol w:w="3931"/>
      </w:tblGrid>
      <w:tr w:rsidR="00A3299F" w:rsidRPr="005503F0" w:rsidTr="005503F0">
        <w:tc>
          <w:tcPr>
            <w:tcW w:w="8444" w:type="dxa"/>
            <w:gridSpan w:val="4"/>
            <w:tcBorders>
              <w:top w:val="single" w:sz="4" w:space="0" w:color="BFBFBF"/>
              <w:left w:val="single" w:sz="4" w:space="0" w:color="BFBFBF"/>
              <w:bottom w:val="single" w:sz="4" w:space="0" w:color="BFBFBF"/>
              <w:right w:val="single" w:sz="4" w:space="0" w:color="BFBFBF"/>
            </w:tcBorders>
            <w:shd w:val="clear" w:color="auto" w:fill="FFFFFF"/>
            <w:hideMark/>
          </w:tcPr>
          <w:p w:rsidR="00A3299F" w:rsidRPr="005503F0" w:rsidRDefault="00A3299F">
            <w:pPr>
              <w:spacing w:after="0" w:line="240" w:lineRule="auto"/>
              <w:rPr>
                <w:rFonts w:ascii="Calibri" w:hAnsi="Calibri" w:cs="Calibri"/>
                <w:color w:val="000000"/>
              </w:rPr>
            </w:pPr>
            <w:r w:rsidRPr="005503F0">
              <w:rPr>
                <w:rFonts w:ascii="Calibri" w:hAnsi="Calibri" w:cs="Calibri"/>
                <w:color w:val="000000"/>
              </w:rPr>
              <w:t>DOCUMENT CHANGE HISTORY</w:t>
            </w:r>
          </w:p>
        </w:tc>
      </w:tr>
      <w:tr w:rsidR="00A3299F" w:rsidRPr="005503F0" w:rsidTr="005503F0">
        <w:tc>
          <w:tcPr>
            <w:tcW w:w="1453" w:type="dxa"/>
            <w:tcBorders>
              <w:top w:val="single" w:sz="4" w:space="0" w:color="BFBFBF"/>
              <w:left w:val="single" w:sz="4" w:space="0" w:color="BFBFBF"/>
              <w:bottom w:val="single" w:sz="4" w:space="0" w:color="BFBFBF"/>
              <w:right w:val="single" w:sz="4" w:space="0" w:color="BFBFBF"/>
            </w:tcBorders>
            <w:shd w:val="clear" w:color="auto" w:fill="FFFFFF"/>
            <w:hideMark/>
          </w:tcPr>
          <w:p w:rsidR="00A3299F" w:rsidRPr="005503F0" w:rsidRDefault="00A3299F">
            <w:pPr>
              <w:spacing w:after="0" w:line="240" w:lineRule="auto"/>
              <w:rPr>
                <w:rFonts w:ascii="Calibri" w:hAnsi="Calibri" w:cs="Calibri"/>
                <w:color w:val="000000"/>
              </w:rPr>
            </w:pPr>
            <w:r w:rsidRPr="005503F0">
              <w:rPr>
                <w:rFonts w:ascii="Calibri" w:hAnsi="Calibri" w:cs="Calibri"/>
                <w:color w:val="000000"/>
              </w:rPr>
              <w:t>Revision date</w:t>
            </w:r>
          </w:p>
        </w:tc>
        <w:tc>
          <w:tcPr>
            <w:tcW w:w="1260" w:type="dxa"/>
            <w:tcBorders>
              <w:top w:val="single" w:sz="4" w:space="0" w:color="BFBFBF"/>
              <w:left w:val="single" w:sz="4" w:space="0" w:color="BFBFBF"/>
              <w:bottom w:val="single" w:sz="4" w:space="0" w:color="BFBFBF"/>
              <w:right w:val="single" w:sz="4" w:space="0" w:color="BFBFBF"/>
            </w:tcBorders>
            <w:shd w:val="clear" w:color="auto" w:fill="FFFFFF"/>
            <w:hideMark/>
          </w:tcPr>
          <w:p w:rsidR="00A3299F" w:rsidRPr="005503F0" w:rsidRDefault="00A3299F">
            <w:pPr>
              <w:spacing w:after="0" w:line="240" w:lineRule="auto"/>
              <w:rPr>
                <w:rFonts w:ascii="Calibri" w:hAnsi="Calibri" w:cs="Calibri"/>
                <w:color w:val="000000"/>
              </w:rPr>
            </w:pPr>
            <w:r w:rsidRPr="005503F0">
              <w:rPr>
                <w:rFonts w:ascii="Calibri" w:hAnsi="Calibri" w:cs="Calibri"/>
                <w:color w:val="000000"/>
              </w:rPr>
              <w:t>Version no.</w:t>
            </w:r>
          </w:p>
        </w:tc>
        <w:tc>
          <w:tcPr>
            <w:tcW w:w="1800" w:type="dxa"/>
            <w:tcBorders>
              <w:top w:val="single" w:sz="4" w:space="0" w:color="BFBFBF"/>
              <w:left w:val="single" w:sz="4" w:space="0" w:color="BFBFBF"/>
              <w:bottom w:val="single" w:sz="4" w:space="0" w:color="BFBFBF"/>
              <w:right w:val="single" w:sz="4" w:space="0" w:color="BFBFBF"/>
            </w:tcBorders>
            <w:shd w:val="clear" w:color="auto" w:fill="FFFFFF"/>
            <w:hideMark/>
          </w:tcPr>
          <w:p w:rsidR="00A3299F" w:rsidRPr="005503F0" w:rsidRDefault="00A3299F">
            <w:pPr>
              <w:spacing w:after="0" w:line="240" w:lineRule="auto"/>
              <w:rPr>
                <w:rFonts w:ascii="Calibri" w:hAnsi="Calibri" w:cs="Calibri"/>
                <w:color w:val="000000"/>
              </w:rPr>
            </w:pPr>
            <w:r w:rsidRPr="005503F0">
              <w:rPr>
                <w:rFonts w:ascii="Calibri" w:hAnsi="Calibri" w:cs="Calibri"/>
                <w:color w:val="000000"/>
              </w:rPr>
              <w:t>Author of changes</w:t>
            </w:r>
          </w:p>
        </w:tc>
        <w:tc>
          <w:tcPr>
            <w:tcW w:w="3931" w:type="dxa"/>
            <w:tcBorders>
              <w:top w:val="single" w:sz="4" w:space="0" w:color="BFBFBF"/>
              <w:left w:val="single" w:sz="4" w:space="0" w:color="BFBFBF"/>
              <w:bottom w:val="single" w:sz="4" w:space="0" w:color="BFBFBF"/>
              <w:right w:val="single" w:sz="4" w:space="0" w:color="BFBFBF"/>
            </w:tcBorders>
            <w:shd w:val="clear" w:color="auto" w:fill="FFFFFF"/>
            <w:hideMark/>
          </w:tcPr>
          <w:p w:rsidR="00A3299F" w:rsidRPr="005503F0" w:rsidRDefault="00A3299F">
            <w:pPr>
              <w:spacing w:after="0" w:line="240" w:lineRule="auto"/>
              <w:rPr>
                <w:rFonts w:ascii="Calibri" w:hAnsi="Calibri" w:cs="Calibri"/>
                <w:color w:val="000000"/>
              </w:rPr>
            </w:pPr>
            <w:r w:rsidRPr="005503F0">
              <w:rPr>
                <w:rFonts w:ascii="Calibri" w:hAnsi="Calibri" w:cs="Calibri"/>
                <w:color w:val="000000"/>
              </w:rPr>
              <w:t>Summary of changes</w:t>
            </w:r>
          </w:p>
        </w:tc>
      </w:tr>
      <w:tr w:rsidR="00A3299F" w:rsidRPr="005503F0" w:rsidTr="005503F0">
        <w:tc>
          <w:tcPr>
            <w:tcW w:w="1453" w:type="dxa"/>
            <w:tcBorders>
              <w:top w:val="single" w:sz="4" w:space="0" w:color="BFBFBF"/>
              <w:left w:val="single" w:sz="4" w:space="0" w:color="BFBFBF"/>
              <w:bottom w:val="single" w:sz="4" w:space="0" w:color="BFBFBF"/>
              <w:right w:val="single" w:sz="4" w:space="0" w:color="BFBFBF"/>
            </w:tcBorders>
            <w:hideMark/>
          </w:tcPr>
          <w:p w:rsidR="00A3299F" w:rsidRPr="005503F0" w:rsidRDefault="00A3299F">
            <w:pPr>
              <w:rPr>
                <w:rFonts w:ascii="Calibri" w:hAnsi="Calibri" w:cs="Calibri"/>
                <w:color w:val="000000"/>
              </w:rPr>
            </w:pPr>
          </w:p>
        </w:tc>
        <w:tc>
          <w:tcPr>
            <w:tcW w:w="1260" w:type="dxa"/>
            <w:tcBorders>
              <w:top w:val="single" w:sz="4" w:space="0" w:color="BFBFBF"/>
              <w:left w:val="single" w:sz="4" w:space="0" w:color="BFBFBF"/>
              <w:bottom w:val="single" w:sz="4" w:space="0" w:color="BFBFBF"/>
              <w:right w:val="single" w:sz="4" w:space="0" w:color="BFBFBF"/>
            </w:tcBorders>
            <w:hideMark/>
          </w:tcPr>
          <w:p w:rsidR="00A3299F" w:rsidRPr="005503F0" w:rsidRDefault="00A3299F">
            <w:pPr>
              <w:spacing w:after="0"/>
              <w:jc w:val="left"/>
              <w:rPr>
                <w:lang w:eastAsia="en-GB"/>
              </w:rPr>
            </w:pPr>
          </w:p>
        </w:tc>
        <w:tc>
          <w:tcPr>
            <w:tcW w:w="1800" w:type="dxa"/>
            <w:tcBorders>
              <w:top w:val="single" w:sz="4" w:space="0" w:color="BFBFBF"/>
              <w:left w:val="single" w:sz="4" w:space="0" w:color="BFBFBF"/>
              <w:bottom w:val="single" w:sz="4" w:space="0" w:color="BFBFBF"/>
              <w:right w:val="single" w:sz="4" w:space="0" w:color="BFBFBF"/>
            </w:tcBorders>
            <w:hideMark/>
          </w:tcPr>
          <w:p w:rsidR="00A3299F" w:rsidRPr="005503F0" w:rsidRDefault="00A3299F">
            <w:pPr>
              <w:spacing w:after="0"/>
              <w:jc w:val="left"/>
              <w:rPr>
                <w:lang w:eastAsia="en-GB"/>
              </w:rPr>
            </w:pPr>
          </w:p>
        </w:tc>
        <w:tc>
          <w:tcPr>
            <w:tcW w:w="3931" w:type="dxa"/>
            <w:tcBorders>
              <w:top w:val="single" w:sz="4" w:space="0" w:color="BFBFBF"/>
              <w:left w:val="single" w:sz="4" w:space="0" w:color="BFBFBF"/>
              <w:bottom w:val="single" w:sz="4" w:space="0" w:color="BFBFBF"/>
              <w:right w:val="single" w:sz="4" w:space="0" w:color="BFBFBF"/>
            </w:tcBorders>
            <w:hideMark/>
          </w:tcPr>
          <w:p w:rsidR="00A3299F" w:rsidRPr="005503F0" w:rsidRDefault="00A3299F">
            <w:pPr>
              <w:spacing w:after="0"/>
              <w:jc w:val="left"/>
              <w:rPr>
                <w:lang w:eastAsia="en-GB"/>
              </w:rPr>
            </w:pPr>
          </w:p>
        </w:tc>
      </w:tr>
      <w:tr w:rsidR="00A3299F" w:rsidRPr="005503F0" w:rsidTr="005503F0">
        <w:tc>
          <w:tcPr>
            <w:tcW w:w="1453" w:type="dxa"/>
            <w:tcBorders>
              <w:top w:val="single" w:sz="4" w:space="0" w:color="BFBFBF"/>
              <w:left w:val="single" w:sz="4" w:space="0" w:color="BFBFBF"/>
              <w:bottom w:val="single" w:sz="4" w:space="0" w:color="BFBFBF"/>
              <w:right w:val="single" w:sz="4" w:space="0" w:color="BFBFBF"/>
            </w:tcBorders>
          </w:tcPr>
          <w:p w:rsidR="00A3299F" w:rsidRPr="005503F0" w:rsidRDefault="00642E9D">
            <w:pPr>
              <w:spacing w:after="0" w:line="240" w:lineRule="auto"/>
              <w:rPr>
                <w:rFonts w:ascii="Calibri" w:eastAsia="Times New Roman" w:hAnsi="Calibri" w:cs="Calibri"/>
                <w:color w:val="000000"/>
              </w:rPr>
            </w:pPr>
            <w:r>
              <w:rPr>
                <w:rFonts w:ascii="Calibri" w:eastAsia="Times New Roman" w:hAnsi="Calibri" w:cs="Calibri"/>
                <w:color w:val="000000"/>
              </w:rPr>
              <w:t>24.06.21</w:t>
            </w:r>
          </w:p>
        </w:tc>
        <w:tc>
          <w:tcPr>
            <w:tcW w:w="1260" w:type="dxa"/>
            <w:tcBorders>
              <w:top w:val="single" w:sz="4" w:space="0" w:color="BFBFBF"/>
              <w:left w:val="single" w:sz="4" w:space="0" w:color="BFBFBF"/>
              <w:bottom w:val="single" w:sz="4" w:space="0" w:color="BFBFBF"/>
              <w:right w:val="single" w:sz="4" w:space="0" w:color="BFBFBF"/>
            </w:tcBorders>
          </w:tcPr>
          <w:p w:rsidR="00A3299F" w:rsidRPr="005503F0" w:rsidRDefault="00642E9D">
            <w:pPr>
              <w:spacing w:after="0" w:line="240" w:lineRule="auto"/>
              <w:rPr>
                <w:rFonts w:ascii="Calibri" w:hAnsi="Calibri" w:cs="Calibri"/>
                <w:color w:val="000000"/>
              </w:rPr>
            </w:pPr>
            <w:r>
              <w:rPr>
                <w:rFonts w:ascii="Calibri" w:hAnsi="Calibri" w:cs="Calibri"/>
                <w:color w:val="000000"/>
              </w:rPr>
              <w:t>1.</w:t>
            </w:r>
            <w:r w:rsidR="00C346F2">
              <w:rPr>
                <w:rFonts w:ascii="Calibri" w:hAnsi="Calibri" w:cs="Calibri"/>
                <w:color w:val="000000"/>
              </w:rPr>
              <w:t>1</w:t>
            </w:r>
          </w:p>
        </w:tc>
        <w:tc>
          <w:tcPr>
            <w:tcW w:w="1800" w:type="dxa"/>
            <w:tcBorders>
              <w:top w:val="single" w:sz="4" w:space="0" w:color="BFBFBF"/>
              <w:left w:val="single" w:sz="4" w:space="0" w:color="BFBFBF"/>
              <w:bottom w:val="single" w:sz="4" w:space="0" w:color="BFBFBF"/>
              <w:right w:val="single" w:sz="4" w:space="0" w:color="BFBFBF"/>
            </w:tcBorders>
          </w:tcPr>
          <w:p w:rsidR="00A3299F" w:rsidRPr="005503F0" w:rsidRDefault="00642E9D">
            <w:pPr>
              <w:spacing w:after="0" w:line="240" w:lineRule="auto"/>
              <w:rPr>
                <w:rFonts w:ascii="Calibri" w:hAnsi="Calibri" w:cs="Calibri"/>
                <w:color w:val="000000"/>
              </w:rPr>
            </w:pPr>
            <w:r>
              <w:rPr>
                <w:rFonts w:ascii="Calibri" w:hAnsi="Calibri" w:cs="Calibri"/>
                <w:color w:val="000000"/>
              </w:rPr>
              <w:t>Alison Kane</w:t>
            </w:r>
          </w:p>
        </w:tc>
        <w:tc>
          <w:tcPr>
            <w:tcW w:w="3931" w:type="dxa"/>
            <w:tcBorders>
              <w:top w:val="single" w:sz="4" w:space="0" w:color="BFBFBF"/>
              <w:left w:val="single" w:sz="4" w:space="0" w:color="BFBFBF"/>
              <w:bottom w:val="single" w:sz="4" w:space="0" w:color="BFBFBF"/>
              <w:right w:val="single" w:sz="4" w:space="0" w:color="BFBFBF"/>
            </w:tcBorders>
          </w:tcPr>
          <w:p w:rsidR="00A3299F" w:rsidRPr="005503F0" w:rsidRDefault="00642E9D">
            <w:pPr>
              <w:spacing w:after="0" w:line="240" w:lineRule="auto"/>
              <w:rPr>
                <w:rFonts w:ascii="Calibri" w:hAnsi="Calibri" w:cs="Calibri"/>
                <w:color w:val="000000"/>
              </w:rPr>
            </w:pPr>
            <w:r>
              <w:rPr>
                <w:rFonts w:ascii="Calibri" w:hAnsi="Calibri" w:cs="Calibri"/>
                <w:color w:val="000000"/>
              </w:rPr>
              <w:t>Customised to Oak Field</w:t>
            </w:r>
          </w:p>
        </w:tc>
      </w:tr>
      <w:tr w:rsidR="00642E9D" w:rsidRPr="005503F0" w:rsidTr="005503F0">
        <w:tc>
          <w:tcPr>
            <w:tcW w:w="1453" w:type="dxa"/>
            <w:tcBorders>
              <w:top w:val="single" w:sz="4" w:space="0" w:color="BFBFBF"/>
              <w:left w:val="single" w:sz="4" w:space="0" w:color="BFBFBF"/>
              <w:bottom w:val="single" w:sz="4" w:space="0" w:color="BFBFBF"/>
              <w:right w:val="single" w:sz="4" w:space="0" w:color="BFBFBF"/>
            </w:tcBorders>
          </w:tcPr>
          <w:p w:rsidR="00642E9D" w:rsidRPr="00642E9D" w:rsidRDefault="00642E9D">
            <w:pPr>
              <w:spacing w:after="0" w:line="240" w:lineRule="auto"/>
              <w:rPr>
                <w:rFonts w:ascii="Calibri" w:eastAsia="Times New Roman" w:hAnsi="Calibri" w:cs="Calibri"/>
                <w:b/>
                <w:color w:val="000000"/>
              </w:rPr>
            </w:pPr>
            <w:r w:rsidRPr="00642E9D">
              <w:rPr>
                <w:rFonts w:ascii="Calibri" w:eastAsia="Times New Roman" w:hAnsi="Calibri" w:cs="Calibri"/>
                <w:b/>
                <w:color w:val="000000"/>
              </w:rPr>
              <w:t>28.06.22</w:t>
            </w:r>
          </w:p>
        </w:tc>
        <w:tc>
          <w:tcPr>
            <w:tcW w:w="1260" w:type="dxa"/>
            <w:tcBorders>
              <w:top w:val="single" w:sz="4" w:space="0" w:color="BFBFBF"/>
              <w:left w:val="single" w:sz="4" w:space="0" w:color="BFBFBF"/>
              <w:bottom w:val="single" w:sz="4" w:space="0" w:color="BFBFBF"/>
              <w:right w:val="single" w:sz="4" w:space="0" w:color="BFBFBF"/>
            </w:tcBorders>
          </w:tcPr>
          <w:p w:rsidR="00642E9D" w:rsidRPr="00642E9D" w:rsidRDefault="00642E9D">
            <w:pPr>
              <w:spacing w:after="0" w:line="240" w:lineRule="auto"/>
              <w:rPr>
                <w:rFonts w:ascii="Calibri" w:hAnsi="Calibri" w:cs="Calibri"/>
                <w:b/>
                <w:color w:val="000000"/>
              </w:rPr>
            </w:pPr>
            <w:r w:rsidRPr="00642E9D">
              <w:rPr>
                <w:rFonts w:ascii="Calibri" w:hAnsi="Calibri" w:cs="Calibri"/>
                <w:b/>
                <w:color w:val="000000"/>
              </w:rPr>
              <w:t>1.</w:t>
            </w:r>
            <w:r w:rsidR="00C346F2">
              <w:rPr>
                <w:rFonts w:ascii="Calibri" w:hAnsi="Calibri" w:cs="Calibri"/>
                <w:b/>
                <w:color w:val="000000"/>
              </w:rPr>
              <w:t>1</w:t>
            </w:r>
          </w:p>
        </w:tc>
        <w:tc>
          <w:tcPr>
            <w:tcW w:w="1800" w:type="dxa"/>
            <w:tcBorders>
              <w:top w:val="single" w:sz="4" w:space="0" w:color="BFBFBF"/>
              <w:left w:val="single" w:sz="4" w:space="0" w:color="BFBFBF"/>
              <w:bottom w:val="single" w:sz="4" w:space="0" w:color="BFBFBF"/>
              <w:right w:val="single" w:sz="4" w:space="0" w:color="BFBFBF"/>
            </w:tcBorders>
          </w:tcPr>
          <w:p w:rsidR="00642E9D" w:rsidRPr="00642E9D" w:rsidRDefault="00642E9D">
            <w:pPr>
              <w:spacing w:after="0" w:line="240" w:lineRule="auto"/>
              <w:rPr>
                <w:rFonts w:ascii="Calibri" w:hAnsi="Calibri" w:cs="Calibri"/>
                <w:b/>
                <w:color w:val="000000"/>
              </w:rPr>
            </w:pPr>
            <w:r w:rsidRPr="00642E9D">
              <w:rPr>
                <w:rFonts w:ascii="Calibri" w:hAnsi="Calibri" w:cs="Calibri"/>
                <w:b/>
                <w:color w:val="000000"/>
              </w:rPr>
              <w:t>Alison Kane</w:t>
            </w:r>
          </w:p>
        </w:tc>
        <w:tc>
          <w:tcPr>
            <w:tcW w:w="3931" w:type="dxa"/>
            <w:tcBorders>
              <w:top w:val="single" w:sz="4" w:space="0" w:color="BFBFBF"/>
              <w:left w:val="single" w:sz="4" w:space="0" w:color="BFBFBF"/>
              <w:bottom w:val="single" w:sz="4" w:space="0" w:color="BFBFBF"/>
              <w:right w:val="single" w:sz="4" w:space="0" w:color="BFBFBF"/>
            </w:tcBorders>
          </w:tcPr>
          <w:p w:rsidR="00642E9D" w:rsidRPr="00642E9D" w:rsidRDefault="00642E9D">
            <w:pPr>
              <w:spacing w:after="0" w:line="240" w:lineRule="auto"/>
              <w:rPr>
                <w:rFonts w:ascii="Calibri" w:hAnsi="Calibri" w:cs="Calibri"/>
                <w:b/>
                <w:color w:val="000000"/>
              </w:rPr>
            </w:pPr>
            <w:r w:rsidRPr="00642E9D">
              <w:rPr>
                <w:rFonts w:ascii="Calibri" w:hAnsi="Calibri" w:cs="Calibri"/>
                <w:b/>
                <w:color w:val="000000"/>
              </w:rPr>
              <w:t>Reviewed</w:t>
            </w:r>
          </w:p>
        </w:tc>
      </w:tr>
      <w:tr w:rsidR="00D73307" w:rsidRPr="005503F0" w:rsidTr="005503F0">
        <w:tc>
          <w:tcPr>
            <w:tcW w:w="1453" w:type="dxa"/>
            <w:tcBorders>
              <w:top w:val="single" w:sz="4" w:space="0" w:color="BFBFBF"/>
              <w:left w:val="single" w:sz="4" w:space="0" w:color="BFBFBF"/>
              <w:bottom w:val="single" w:sz="4" w:space="0" w:color="BFBFBF"/>
              <w:right w:val="single" w:sz="4" w:space="0" w:color="BFBFBF"/>
            </w:tcBorders>
          </w:tcPr>
          <w:p w:rsidR="00D73307" w:rsidRPr="00642E9D" w:rsidRDefault="00D73307">
            <w:pPr>
              <w:spacing w:after="0" w:line="240" w:lineRule="auto"/>
              <w:rPr>
                <w:rFonts w:ascii="Calibri" w:eastAsia="Times New Roman" w:hAnsi="Calibri" w:cs="Calibri"/>
                <w:b/>
                <w:color w:val="000000"/>
              </w:rPr>
            </w:pPr>
            <w:r>
              <w:rPr>
                <w:rFonts w:ascii="Calibri" w:eastAsia="Times New Roman" w:hAnsi="Calibri" w:cs="Calibri"/>
                <w:b/>
                <w:color w:val="000000"/>
              </w:rPr>
              <w:t>26.09.24</w:t>
            </w:r>
          </w:p>
        </w:tc>
        <w:tc>
          <w:tcPr>
            <w:tcW w:w="1260" w:type="dxa"/>
            <w:tcBorders>
              <w:top w:val="single" w:sz="4" w:space="0" w:color="BFBFBF"/>
              <w:left w:val="single" w:sz="4" w:space="0" w:color="BFBFBF"/>
              <w:bottom w:val="single" w:sz="4" w:space="0" w:color="BFBFBF"/>
              <w:right w:val="single" w:sz="4" w:space="0" w:color="BFBFBF"/>
            </w:tcBorders>
          </w:tcPr>
          <w:p w:rsidR="00D73307" w:rsidRPr="00642E9D" w:rsidRDefault="00D73307">
            <w:pPr>
              <w:spacing w:after="0" w:line="240" w:lineRule="auto"/>
              <w:rPr>
                <w:rFonts w:ascii="Calibri" w:hAnsi="Calibri" w:cs="Calibri"/>
                <w:b/>
                <w:color w:val="000000"/>
              </w:rPr>
            </w:pPr>
            <w:r>
              <w:rPr>
                <w:rFonts w:ascii="Calibri" w:hAnsi="Calibri" w:cs="Calibri"/>
                <w:b/>
                <w:color w:val="000000"/>
              </w:rPr>
              <w:t>1.1</w:t>
            </w:r>
          </w:p>
        </w:tc>
        <w:tc>
          <w:tcPr>
            <w:tcW w:w="1800" w:type="dxa"/>
            <w:tcBorders>
              <w:top w:val="single" w:sz="4" w:space="0" w:color="BFBFBF"/>
              <w:left w:val="single" w:sz="4" w:space="0" w:color="BFBFBF"/>
              <w:bottom w:val="single" w:sz="4" w:space="0" w:color="BFBFBF"/>
              <w:right w:val="single" w:sz="4" w:space="0" w:color="BFBFBF"/>
            </w:tcBorders>
          </w:tcPr>
          <w:p w:rsidR="00D73307" w:rsidRPr="00642E9D" w:rsidRDefault="00D73307">
            <w:pPr>
              <w:spacing w:after="0" w:line="240" w:lineRule="auto"/>
              <w:rPr>
                <w:rFonts w:ascii="Calibri" w:hAnsi="Calibri" w:cs="Calibri"/>
                <w:b/>
                <w:color w:val="000000"/>
              </w:rPr>
            </w:pPr>
            <w:r>
              <w:rPr>
                <w:rFonts w:ascii="Calibri" w:hAnsi="Calibri" w:cs="Calibri"/>
                <w:b/>
                <w:color w:val="000000"/>
              </w:rPr>
              <w:t>Alison Kane</w:t>
            </w:r>
          </w:p>
        </w:tc>
        <w:tc>
          <w:tcPr>
            <w:tcW w:w="3931" w:type="dxa"/>
            <w:tcBorders>
              <w:top w:val="single" w:sz="4" w:space="0" w:color="BFBFBF"/>
              <w:left w:val="single" w:sz="4" w:space="0" w:color="BFBFBF"/>
              <w:bottom w:val="single" w:sz="4" w:space="0" w:color="BFBFBF"/>
              <w:right w:val="single" w:sz="4" w:space="0" w:color="BFBFBF"/>
            </w:tcBorders>
          </w:tcPr>
          <w:p w:rsidR="00D73307" w:rsidRPr="00642E9D" w:rsidRDefault="00D73307">
            <w:pPr>
              <w:spacing w:after="0" w:line="240" w:lineRule="auto"/>
              <w:rPr>
                <w:rFonts w:ascii="Calibri" w:hAnsi="Calibri" w:cs="Calibri"/>
                <w:b/>
                <w:color w:val="000000"/>
              </w:rPr>
            </w:pPr>
            <w:r>
              <w:rPr>
                <w:rFonts w:ascii="Calibri" w:hAnsi="Calibri" w:cs="Calibri"/>
                <w:b/>
                <w:color w:val="000000"/>
              </w:rPr>
              <w:t>Reviewed</w:t>
            </w:r>
          </w:p>
        </w:tc>
      </w:tr>
    </w:tbl>
    <w:p w:rsidR="00A3299F" w:rsidRDefault="00A3299F" w:rsidP="00A3299F">
      <w:pPr>
        <w:rPr>
          <w:rFonts w:ascii="Calibri" w:hAnsi="Calibri" w:cs="Calibri"/>
        </w:rPr>
      </w:pPr>
    </w:p>
    <w:p w:rsidR="001B7499" w:rsidRPr="005503F0" w:rsidRDefault="001B7499" w:rsidP="001B7499">
      <w:pPr>
        <w:rPr>
          <w:rFonts w:ascii="Calibri" w:hAnsi="Calibri" w:cs="Calibri"/>
          <w:color w:val="000000"/>
        </w:rPr>
      </w:pPr>
    </w:p>
    <w:p w:rsidR="001B7499" w:rsidRPr="005503F0" w:rsidRDefault="001B7499" w:rsidP="001B7499">
      <w:pPr>
        <w:rPr>
          <w:rFonts w:ascii="Calibri" w:hAnsi="Calibri" w:cs="Calibri"/>
          <w:color w:val="000000"/>
        </w:rPr>
      </w:pPr>
    </w:p>
    <w:p w:rsidR="001B7499" w:rsidRPr="005503F0" w:rsidRDefault="001B7499" w:rsidP="001B7499">
      <w:pPr>
        <w:rPr>
          <w:rFonts w:ascii="Calibri" w:hAnsi="Calibri" w:cs="Calibri"/>
          <w:color w:val="000000"/>
        </w:rPr>
      </w:pPr>
    </w:p>
    <w:p w:rsidR="001B7499" w:rsidRPr="005503F0" w:rsidRDefault="001B7499" w:rsidP="001B7499">
      <w:pPr>
        <w:rPr>
          <w:rFonts w:ascii="Calibri" w:hAnsi="Calibri" w:cs="Calibri"/>
          <w:color w:val="000000"/>
        </w:rPr>
      </w:pPr>
    </w:p>
    <w:p w:rsidR="001B7499" w:rsidRPr="005503F0" w:rsidRDefault="001B7499" w:rsidP="001B7499">
      <w:pPr>
        <w:rPr>
          <w:rFonts w:ascii="Calibri" w:hAnsi="Calibri" w:cs="Calibri"/>
          <w:color w:val="000000"/>
        </w:rPr>
      </w:pPr>
    </w:p>
    <w:p w:rsidR="001B7499" w:rsidRPr="005503F0" w:rsidRDefault="001B7499" w:rsidP="001B7499">
      <w:pPr>
        <w:rPr>
          <w:rFonts w:ascii="Calibri" w:hAnsi="Calibri" w:cs="Calibri"/>
          <w:color w:val="000000"/>
        </w:rPr>
      </w:pPr>
    </w:p>
    <w:p w:rsidR="00FE7441" w:rsidRPr="005503F0" w:rsidRDefault="00FE7441" w:rsidP="001B7499">
      <w:pPr>
        <w:rPr>
          <w:rFonts w:ascii="Calibri" w:hAnsi="Calibri" w:cs="Calibri"/>
          <w:color w:val="000000"/>
        </w:rPr>
      </w:pPr>
    </w:p>
    <w:p w:rsidR="001B7499" w:rsidRPr="005503F0" w:rsidRDefault="001B7499" w:rsidP="001B7499">
      <w:pPr>
        <w:rPr>
          <w:rFonts w:ascii="Calibri" w:hAnsi="Calibri" w:cs="Calibri"/>
          <w:color w:val="000000"/>
        </w:rPr>
      </w:pPr>
    </w:p>
    <w:p w:rsidR="001B7499" w:rsidRPr="005503F0" w:rsidRDefault="001B7499" w:rsidP="001B7499">
      <w:pPr>
        <w:rPr>
          <w:rFonts w:ascii="Calibri" w:hAnsi="Calibri" w:cs="Calibri"/>
          <w:color w:val="000000"/>
        </w:rPr>
      </w:pPr>
    </w:p>
    <w:p w:rsidR="001B7499" w:rsidRPr="005503F0" w:rsidRDefault="001B7499" w:rsidP="001B7499">
      <w:pPr>
        <w:rPr>
          <w:rFonts w:ascii="Calibri" w:hAnsi="Calibri" w:cs="Calibri"/>
          <w:color w:val="000000"/>
        </w:rPr>
      </w:pPr>
    </w:p>
    <w:p w:rsidR="00B75DA4" w:rsidRPr="005503F0" w:rsidRDefault="00B75DA4" w:rsidP="638FCA35">
      <w:pPr>
        <w:spacing w:after="120" w:line="240" w:lineRule="auto"/>
        <w:rPr>
          <w:rFonts w:ascii="Calibri" w:hAnsi="Calibri" w:cs="Calibri"/>
          <w:color w:val="000000"/>
        </w:rPr>
        <w:sectPr w:rsidR="00B75DA4" w:rsidRPr="005503F0" w:rsidSect="00F2470D">
          <w:pgSz w:w="11906" w:h="16838" w:code="9"/>
          <w:pgMar w:top="1440" w:right="1134" w:bottom="1440" w:left="1276" w:header="709" w:footer="709" w:gutter="0"/>
          <w:pgNumType w:start="0"/>
          <w:cols w:space="708"/>
          <w:titlePg/>
          <w:docGrid w:linePitch="360"/>
        </w:sectPr>
      </w:pPr>
    </w:p>
    <w:p w:rsidR="00940D17" w:rsidRPr="005503F0" w:rsidRDefault="00940D17" w:rsidP="00940D17">
      <w:pPr>
        <w:spacing w:before="120" w:after="120"/>
        <w:ind w:left="360"/>
        <w:jc w:val="left"/>
        <w:rPr>
          <w:rFonts w:ascii="Calibri" w:hAnsi="Calibri" w:cs="Calibri"/>
          <w:b/>
          <w:color w:val="000000"/>
        </w:rPr>
      </w:pPr>
      <w:r w:rsidRPr="005503F0">
        <w:rPr>
          <w:rFonts w:ascii="Calibri" w:hAnsi="Calibri" w:cs="Calibri"/>
          <w:b/>
          <w:color w:val="000000"/>
        </w:rPr>
        <w:lastRenderedPageBreak/>
        <w:t>Contents</w:t>
      </w:r>
    </w:p>
    <w:p w:rsidR="00940D17" w:rsidRPr="005503F0" w:rsidRDefault="00940D17" w:rsidP="000C2D5A">
      <w:pPr>
        <w:pStyle w:val="ListParagraph"/>
        <w:numPr>
          <w:ilvl w:val="0"/>
          <w:numId w:val="22"/>
        </w:numPr>
        <w:spacing w:after="0"/>
        <w:ind w:left="850" w:hanging="493"/>
        <w:contextualSpacing w:val="0"/>
        <w:jc w:val="left"/>
        <w:rPr>
          <w:rFonts w:ascii="Calibri" w:hAnsi="Calibri" w:cs="Calibri"/>
          <w:color w:val="000000"/>
        </w:rPr>
      </w:pPr>
      <w:r w:rsidRPr="005503F0">
        <w:rPr>
          <w:rFonts w:ascii="Calibri" w:hAnsi="Calibri" w:cs="Calibri"/>
          <w:color w:val="000000"/>
        </w:rPr>
        <w:t>Introduction</w:t>
      </w:r>
    </w:p>
    <w:p w:rsidR="00940D17" w:rsidRPr="005503F0" w:rsidRDefault="00940D17" w:rsidP="000C2D5A">
      <w:pPr>
        <w:pStyle w:val="ListParagraph"/>
        <w:numPr>
          <w:ilvl w:val="0"/>
          <w:numId w:val="22"/>
        </w:numPr>
        <w:spacing w:after="0"/>
        <w:ind w:left="850" w:hanging="493"/>
        <w:contextualSpacing w:val="0"/>
        <w:jc w:val="left"/>
        <w:rPr>
          <w:rFonts w:ascii="Calibri" w:hAnsi="Calibri" w:cs="Calibri"/>
          <w:color w:val="000000"/>
        </w:rPr>
      </w:pPr>
      <w:r w:rsidRPr="005503F0">
        <w:rPr>
          <w:rFonts w:ascii="Calibri" w:hAnsi="Calibri" w:cs="Calibri"/>
          <w:color w:val="000000"/>
        </w:rPr>
        <w:t>Background</w:t>
      </w:r>
    </w:p>
    <w:p w:rsidR="00940D17" w:rsidRPr="005503F0" w:rsidRDefault="00940D17" w:rsidP="000C2D5A">
      <w:pPr>
        <w:pStyle w:val="ListParagraph"/>
        <w:numPr>
          <w:ilvl w:val="0"/>
          <w:numId w:val="22"/>
        </w:numPr>
        <w:spacing w:after="0"/>
        <w:ind w:left="850" w:hanging="493"/>
        <w:contextualSpacing w:val="0"/>
        <w:jc w:val="left"/>
        <w:rPr>
          <w:rFonts w:ascii="Calibri" w:hAnsi="Calibri" w:cs="Calibri"/>
          <w:color w:val="000000"/>
        </w:rPr>
      </w:pPr>
      <w:r w:rsidRPr="005503F0">
        <w:rPr>
          <w:rFonts w:ascii="Calibri" w:hAnsi="Calibri" w:cs="Calibri"/>
          <w:color w:val="000000"/>
        </w:rPr>
        <w:t>Timescales</w:t>
      </w:r>
    </w:p>
    <w:p w:rsidR="00940D17" w:rsidRPr="005503F0" w:rsidRDefault="00940D17" w:rsidP="000C2D5A">
      <w:pPr>
        <w:pStyle w:val="ListParagraph"/>
        <w:numPr>
          <w:ilvl w:val="0"/>
          <w:numId w:val="22"/>
        </w:numPr>
        <w:spacing w:after="0"/>
        <w:ind w:left="850" w:hanging="493"/>
        <w:contextualSpacing w:val="0"/>
        <w:jc w:val="left"/>
        <w:rPr>
          <w:rFonts w:ascii="Calibri" w:hAnsi="Calibri" w:cs="Calibri"/>
          <w:color w:val="000000"/>
        </w:rPr>
      </w:pPr>
      <w:r w:rsidRPr="005503F0">
        <w:rPr>
          <w:rFonts w:ascii="Calibri" w:hAnsi="Calibri" w:cs="Calibri"/>
          <w:color w:val="000000"/>
        </w:rPr>
        <w:t>Delegated Responsibilities</w:t>
      </w:r>
    </w:p>
    <w:p w:rsidR="00940D17" w:rsidRPr="005503F0" w:rsidRDefault="00940D17" w:rsidP="000C2D5A">
      <w:pPr>
        <w:pStyle w:val="ListParagraph"/>
        <w:numPr>
          <w:ilvl w:val="0"/>
          <w:numId w:val="22"/>
        </w:numPr>
        <w:spacing w:after="0"/>
        <w:ind w:left="850" w:hanging="493"/>
        <w:contextualSpacing w:val="0"/>
        <w:jc w:val="left"/>
        <w:rPr>
          <w:rFonts w:ascii="Calibri" w:hAnsi="Calibri" w:cs="Calibri"/>
          <w:color w:val="000000"/>
        </w:rPr>
      </w:pPr>
      <w:r w:rsidRPr="005503F0">
        <w:rPr>
          <w:rFonts w:ascii="Calibri" w:hAnsi="Calibri" w:cs="Calibri"/>
          <w:color w:val="000000"/>
        </w:rPr>
        <w:t>Scope</w:t>
      </w:r>
    </w:p>
    <w:p w:rsidR="00940D17" w:rsidRPr="005503F0" w:rsidRDefault="00940D17" w:rsidP="000C2D5A">
      <w:pPr>
        <w:pStyle w:val="ListParagraph"/>
        <w:numPr>
          <w:ilvl w:val="0"/>
          <w:numId w:val="22"/>
        </w:numPr>
        <w:spacing w:after="0"/>
        <w:ind w:left="850" w:hanging="493"/>
        <w:contextualSpacing w:val="0"/>
        <w:jc w:val="left"/>
        <w:rPr>
          <w:rFonts w:ascii="Calibri" w:hAnsi="Calibri" w:cs="Calibri"/>
          <w:color w:val="000000"/>
        </w:rPr>
      </w:pPr>
      <w:r w:rsidRPr="005503F0">
        <w:rPr>
          <w:rFonts w:ascii="Calibri" w:hAnsi="Calibri" w:cs="Calibri"/>
          <w:color w:val="000000"/>
        </w:rPr>
        <w:t>Requesting information</w:t>
      </w:r>
    </w:p>
    <w:p w:rsidR="00940D17" w:rsidRPr="005503F0" w:rsidRDefault="00940D17" w:rsidP="000C2D5A">
      <w:pPr>
        <w:pStyle w:val="ListParagraph"/>
        <w:numPr>
          <w:ilvl w:val="0"/>
          <w:numId w:val="22"/>
        </w:numPr>
        <w:spacing w:after="0"/>
        <w:ind w:left="850" w:hanging="493"/>
        <w:contextualSpacing w:val="0"/>
        <w:jc w:val="left"/>
        <w:rPr>
          <w:rFonts w:ascii="Calibri" w:hAnsi="Calibri" w:cs="Calibri"/>
          <w:color w:val="000000"/>
        </w:rPr>
      </w:pPr>
      <w:r w:rsidRPr="005503F0">
        <w:rPr>
          <w:rFonts w:ascii="Calibri" w:hAnsi="Calibri" w:cs="Calibri"/>
          <w:color w:val="000000"/>
        </w:rPr>
        <w:t>Withholding information</w:t>
      </w:r>
    </w:p>
    <w:p w:rsidR="00940D17" w:rsidRPr="005503F0" w:rsidRDefault="00940D17" w:rsidP="000C2D5A">
      <w:pPr>
        <w:pStyle w:val="ListParagraph"/>
        <w:numPr>
          <w:ilvl w:val="0"/>
          <w:numId w:val="22"/>
        </w:numPr>
        <w:spacing w:after="0"/>
        <w:ind w:left="850" w:hanging="493"/>
        <w:contextualSpacing w:val="0"/>
        <w:jc w:val="left"/>
        <w:rPr>
          <w:rFonts w:ascii="Calibri" w:hAnsi="Calibri" w:cs="Calibri"/>
          <w:color w:val="000000"/>
        </w:rPr>
      </w:pPr>
      <w:r w:rsidRPr="005503F0">
        <w:rPr>
          <w:rFonts w:ascii="Calibri" w:hAnsi="Calibri" w:cs="Calibri"/>
          <w:color w:val="000000"/>
        </w:rPr>
        <w:t>Releasing a third party’s information</w:t>
      </w:r>
    </w:p>
    <w:p w:rsidR="00940D17" w:rsidRPr="005503F0" w:rsidRDefault="00940D17" w:rsidP="000C2D5A">
      <w:pPr>
        <w:pStyle w:val="ListParagraph"/>
        <w:numPr>
          <w:ilvl w:val="0"/>
          <w:numId w:val="22"/>
        </w:numPr>
        <w:spacing w:after="0"/>
        <w:ind w:left="850" w:hanging="493"/>
        <w:contextualSpacing w:val="0"/>
        <w:jc w:val="left"/>
        <w:rPr>
          <w:rFonts w:ascii="Calibri" w:hAnsi="Calibri" w:cs="Calibri"/>
          <w:color w:val="000000"/>
        </w:rPr>
      </w:pPr>
      <w:r w:rsidRPr="005503F0">
        <w:rPr>
          <w:rFonts w:ascii="Calibri" w:hAnsi="Calibri" w:cs="Calibri"/>
          <w:color w:val="000000"/>
        </w:rPr>
        <w:t xml:space="preserve">Information held within contracts with </w:t>
      </w:r>
      <w:r w:rsidR="00862070" w:rsidRPr="005503F0">
        <w:rPr>
          <w:rFonts w:ascii="Calibri" w:hAnsi="Calibri" w:cs="Calibri"/>
          <w:color w:val="000000"/>
        </w:rPr>
        <w:t>XXX</w:t>
      </w:r>
    </w:p>
    <w:p w:rsidR="00940D17" w:rsidRPr="005503F0" w:rsidRDefault="00940D17" w:rsidP="000C2D5A">
      <w:pPr>
        <w:pStyle w:val="ListParagraph"/>
        <w:numPr>
          <w:ilvl w:val="0"/>
          <w:numId w:val="22"/>
        </w:numPr>
        <w:spacing w:after="0"/>
        <w:ind w:left="850" w:hanging="493"/>
        <w:contextualSpacing w:val="0"/>
        <w:jc w:val="left"/>
        <w:rPr>
          <w:rFonts w:ascii="Calibri" w:hAnsi="Calibri" w:cs="Calibri"/>
          <w:color w:val="000000"/>
        </w:rPr>
      </w:pPr>
      <w:r w:rsidRPr="005503F0">
        <w:rPr>
          <w:rFonts w:ascii="Calibri" w:hAnsi="Calibri" w:cs="Calibri"/>
          <w:color w:val="000000"/>
        </w:rPr>
        <w:t>Complaints procedure</w:t>
      </w:r>
    </w:p>
    <w:p w:rsidR="00940D17" w:rsidRPr="005503F0" w:rsidRDefault="00940D17" w:rsidP="000C2D5A">
      <w:pPr>
        <w:pStyle w:val="ListParagraph"/>
        <w:numPr>
          <w:ilvl w:val="0"/>
          <w:numId w:val="22"/>
        </w:numPr>
        <w:spacing w:after="0"/>
        <w:ind w:left="850" w:hanging="493"/>
        <w:contextualSpacing w:val="0"/>
        <w:jc w:val="left"/>
        <w:rPr>
          <w:rFonts w:ascii="Calibri" w:hAnsi="Calibri" w:cs="Calibri"/>
          <w:color w:val="000000"/>
        </w:rPr>
      </w:pPr>
      <w:r w:rsidRPr="005503F0">
        <w:rPr>
          <w:rFonts w:ascii="Calibri" w:hAnsi="Calibri" w:cs="Calibri"/>
          <w:color w:val="000000"/>
        </w:rPr>
        <w:t>Requests made under the Data Protection Act</w:t>
      </w:r>
    </w:p>
    <w:p w:rsidR="00940D17" w:rsidRPr="005503F0" w:rsidRDefault="00940D17" w:rsidP="000C2D5A">
      <w:pPr>
        <w:pStyle w:val="ListParagraph"/>
        <w:numPr>
          <w:ilvl w:val="0"/>
          <w:numId w:val="22"/>
        </w:numPr>
        <w:spacing w:after="0"/>
        <w:ind w:left="850" w:hanging="493"/>
        <w:contextualSpacing w:val="0"/>
        <w:jc w:val="left"/>
        <w:rPr>
          <w:rFonts w:ascii="Calibri" w:hAnsi="Calibri" w:cs="Calibri"/>
          <w:color w:val="000000"/>
        </w:rPr>
      </w:pPr>
      <w:r w:rsidRPr="005503F0">
        <w:rPr>
          <w:rFonts w:ascii="Calibri" w:hAnsi="Calibri" w:cs="Calibri"/>
          <w:color w:val="000000"/>
        </w:rPr>
        <w:t>Illegal Actions</w:t>
      </w:r>
    </w:p>
    <w:p w:rsidR="00940D17" w:rsidRPr="005503F0" w:rsidRDefault="00940D17" w:rsidP="00EF533B">
      <w:pPr>
        <w:spacing w:after="0"/>
        <w:jc w:val="left"/>
        <w:rPr>
          <w:rFonts w:ascii="Calibri" w:hAnsi="Calibri" w:cs="Calibri"/>
          <w:color w:val="000000"/>
        </w:rPr>
      </w:pPr>
    </w:p>
    <w:p w:rsidR="00940D17" w:rsidRPr="005503F0" w:rsidRDefault="00940D17" w:rsidP="00752B6A">
      <w:pPr>
        <w:tabs>
          <w:tab w:val="left" w:pos="2263"/>
        </w:tabs>
        <w:spacing w:before="120"/>
        <w:contextualSpacing/>
        <w:jc w:val="left"/>
        <w:rPr>
          <w:rFonts w:ascii="Calibri" w:hAnsi="Calibri" w:cs="Calibri"/>
          <w:color w:val="000000"/>
          <w:sz w:val="20"/>
          <w:szCs w:val="20"/>
        </w:rPr>
      </w:pPr>
    </w:p>
    <w:p w:rsidR="000C2D5A" w:rsidRPr="005503F0" w:rsidRDefault="000C2D5A" w:rsidP="00752B6A">
      <w:pPr>
        <w:tabs>
          <w:tab w:val="left" w:pos="2263"/>
        </w:tabs>
        <w:spacing w:before="120"/>
        <w:contextualSpacing/>
        <w:jc w:val="left"/>
        <w:rPr>
          <w:rFonts w:ascii="Calibri" w:hAnsi="Calibri" w:cs="Calibri"/>
          <w:color w:val="000000"/>
          <w:sz w:val="20"/>
          <w:szCs w:val="20"/>
        </w:rPr>
      </w:pPr>
    </w:p>
    <w:p w:rsidR="00AB62B2" w:rsidRPr="005503F0" w:rsidRDefault="00AB62B2" w:rsidP="006540F8">
      <w:pPr>
        <w:spacing w:after="360" w:line="259" w:lineRule="auto"/>
        <w:rPr>
          <w:rFonts w:ascii="Calibri" w:hAnsi="Calibri" w:cs="Calibri"/>
          <w:b/>
          <w:color w:val="000000"/>
          <w:sz w:val="20"/>
          <w:szCs w:val="20"/>
        </w:rPr>
      </w:pPr>
    </w:p>
    <w:p w:rsidR="00E138A4" w:rsidRPr="005503F0" w:rsidRDefault="00E138A4" w:rsidP="006540F8">
      <w:pPr>
        <w:spacing w:after="360" w:line="259" w:lineRule="auto"/>
        <w:rPr>
          <w:rFonts w:ascii="Calibri" w:hAnsi="Calibri" w:cs="Calibri"/>
          <w:b/>
          <w:color w:val="000000"/>
          <w:sz w:val="20"/>
          <w:szCs w:val="20"/>
        </w:rPr>
      </w:pPr>
    </w:p>
    <w:p w:rsidR="00E138A4" w:rsidRPr="005503F0" w:rsidRDefault="00E138A4" w:rsidP="006540F8">
      <w:pPr>
        <w:spacing w:after="360" w:line="259" w:lineRule="auto"/>
        <w:rPr>
          <w:rFonts w:ascii="Calibri" w:hAnsi="Calibri" w:cs="Calibri"/>
          <w:b/>
          <w:color w:val="000000"/>
          <w:sz w:val="20"/>
          <w:szCs w:val="20"/>
        </w:rPr>
      </w:pPr>
    </w:p>
    <w:p w:rsidR="00E138A4" w:rsidRPr="005503F0" w:rsidRDefault="00E138A4" w:rsidP="006540F8">
      <w:pPr>
        <w:spacing w:after="360" w:line="259" w:lineRule="auto"/>
        <w:rPr>
          <w:rFonts w:ascii="Calibri" w:hAnsi="Calibri" w:cs="Calibri"/>
          <w:b/>
          <w:color w:val="000000"/>
          <w:sz w:val="28"/>
          <w:szCs w:val="28"/>
        </w:rPr>
      </w:pPr>
    </w:p>
    <w:p w:rsidR="00E138A4" w:rsidRPr="005503F0" w:rsidRDefault="00E138A4" w:rsidP="006540F8">
      <w:pPr>
        <w:spacing w:after="360" w:line="259" w:lineRule="auto"/>
        <w:rPr>
          <w:rFonts w:ascii="Calibri" w:hAnsi="Calibri" w:cs="Calibri"/>
          <w:b/>
          <w:color w:val="000000"/>
          <w:sz w:val="28"/>
          <w:szCs w:val="28"/>
        </w:rPr>
      </w:pPr>
    </w:p>
    <w:p w:rsidR="00E138A4" w:rsidRPr="005503F0" w:rsidRDefault="00E138A4" w:rsidP="006540F8">
      <w:pPr>
        <w:spacing w:after="360" w:line="259" w:lineRule="auto"/>
        <w:rPr>
          <w:rFonts w:ascii="Calibri" w:hAnsi="Calibri" w:cs="Calibri"/>
          <w:b/>
          <w:color w:val="000000"/>
          <w:sz w:val="28"/>
          <w:szCs w:val="28"/>
        </w:rPr>
      </w:pPr>
    </w:p>
    <w:p w:rsidR="00E138A4" w:rsidRPr="005503F0" w:rsidRDefault="00E138A4" w:rsidP="006540F8">
      <w:pPr>
        <w:spacing w:after="360" w:line="259" w:lineRule="auto"/>
        <w:rPr>
          <w:rFonts w:ascii="Calibri" w:hAnsi="Calibri" w:cs="Calibri"/>
          <w:b/>
          <w:color w:val="000000"/>
          <w:sz w:val="28"/>
          <w:szCs w:val="28"/>
        </w:rPr>
      </w:pPr>
    </w:p>
    <w:p w:rsidR="003450DE" w:rsidRPr="005503F0" w:rsidRDefault="003450DE" w:rsidP="006540F8">
      <w:pPr>
        <w:spacing w:after="360" w:line="259" w:lineRule="auto"/>
        <w:rPr>
          <w:rFonts w:ascii="Calibri" w:hAnsi="Calibri" w:cs="Calibri"/>
          <w:b/>
          <w:color w:val="000000"/>
          <w:sz w:val="28"/>
          <w:szCs w:val="28"/>
        </w:rPr>
      </w:pPr>
    </w:p>
    <w:p w:rsidR="003450DE" w:rsidRPr="005503F0" w:rsidRDefault="003450DE" w:rsidP="006540F8">
      <w:pPr>
        <w:spacing w:after="360" w:line="259" w:lineRule="auto"/>
        <w:rPr>
          <w:rFonts w:ascii="Calibri" w:hAnsi="Calibri" w:cs="Calibri"/>
          <w:b/>
          <w:color w:val="000000"/>
          <w:sz w:val="28"/>
          <w:szCs w:val="28"/>
        </w:rPr>
      </w:pPr>
    </w:p>
    <w:p w:rsidR="003450DE" w:rsidRPr="005503F0" w:rsidRDefault="003450DE" w:rsidP="006540F8">
      <w:pPr>
        <w:spacing w:after="360" w:line="259" w:lineRule="auto"/>
        <w:rPr>
          <w:rFonts w:ascii="Calibri" w:hAnsi="Calibri" w:cs="Calibri"/>
          <w:b/>
          <w:color w:val="000000"/>
          <w:sz w:val="28"/>
          <w:szCs w:val="28"/>
        </w:rPr>
      </w:pPr>
    </w:p>
    <w:p w:rsidR="00E138A4" w:rsidRPr="005503F0" w:rsidRDefault="00E138A4" w:rsidP="006540F8">
      <w:pPr>
        <w:spacing w:after="360" w:line="259" w:lineRule="auto"/>
        <w:rPr>
          <w:rFonts w:ascii="Calibri" w:hAnsi="Calibri" w:cs="Calibri"/>
          <w:b/>
          <w:color w:val="000000"/>
          <w:sz w:val="28"/>
          <w:szCs w:val="28"/>
        </w:rPr>
      </w:pPr>
    </w:p>
    <w:p w:rsidR="00E138A4" w:rsidRPr="005503F0" w:rsidRDefault="00E138A4" w:rsidP="006540F8">
      <w:pPr>
        <w:spacing w:after="360" w:line="259" w:lineRule="auto"/>
        <w:rPr>
          <w:rFonts w:ascii="Calibri" w:hAnsi="Calibri" w:cs="Calibri"/>
          <w:b/>
          <w:color w:val="000000"/>
          <w:sz w:val="28"/>
          <w:szCs w:val="28"/>
        </w:rPr>
      </w:pPr>
    </w:p>
    <w:p w:rsidR="00E138A4" w:rsidRPr="005503F0" w:rsidRDefault="00E138A4" w:rsidP="006540F8">
      <w:pPr>
        <w:spacing w:after="360" w:line="259" w:lineRule="auto"/>
        <w:rPr>
          <w:rFonts w:ascii="Calibri" w:hAnsi="Calibri" w:cs="Calibri"/>
          <w:b/>
          <w:color w:val="000000"/>
          <w:sz w:val="28"/>
          <w:szCs w:val="28"/>
        </w:rPr>
      </w:pPr>
    </w:p>
    <w:p w:rsidR="00C93C7B" w:rsidRPr="00C93C7B" w:rsidRDefault="00C93C7B" w:rsidP="00C93C7B">
      <w:pPr>
        <w:spacing w:line="259" w:lineRule="auto"/>
        <w:rPr>
          <w:rFonts w:asciiTheme="minorHAnsi" w:hAnsiTheme="minorHAnsi" w:cstheme="minorHAnsi"/>
          <w:b/>
        </w:rPr>
      </w:pPr>
      <w:r w:rsidRPr="00C93C7B">
        <w:rPr>
          <w:rFonts w:asciiTheme="minorHAnsi" w:hAnsiTheme="minorHAnsi" w:cstheme="minorHAnsi"/>
          <w:b/>
        </w:rPr>
        <w:lastRenderedPageBreak/>
        <w:t>Freedom of Information Policy</w:t>
      </w:r>
    </w:p>
    <w:p w:rsidR="00C93C7B" w:rsidRPr="00C93C7B" w:rsidRDefault="00C93C7B" w:rsidP="00C93C7B">
      <w:pPr>
        <w:spacing w:after="120" w:line="23" w:lineRule="atLeast"/>
        <w:rPr>
          <w:rFonts w:asciiTheme="minorHAnsi" w:hAnsiTheme="minorHAnsi" w:cstheme="minorHAnsi"/>
          <w:b/>
        </w:rPr>
      </w:pPr>
      <w:r w:rsidRPr="00C93C7B">
        <w:rPr>
          <w:rFonts w:asciiTheme="minorHAnsi" w:hAnsiTheme="minorHAnsi" w:cstheme="minorHAnsi"/>
          <w:b/>
        </w:rPr>
        <w:t>1. Introduction</w:t>
      </w:r>
    </w:p>
    <w:p w:rsidR="00C93C7B" w:rsidRPr="00C93C7B" w:rsidRDefault="00C93C7B" w:rsidP="00C93C7B">
      <w:pPr>
        <w:spacing w:after="0"/>
        <w:rPr>
          <w:rFonts w:asciiTheme="minorHAnsi" w:hAnsiTheme="minorHAnsi" w:cstheme="minorHAnsi"/>
        </w:rPr>
      </w:pPr>
      <w:r w:rsidRPr="00C93C7B">
        <w:rPr>
          <w:rFonts w:asciiTheme="minorHAnsi" w:hAnsiTheme="minorHAnsi" w:cstheme="minorHAnsi"/>
        </w:rPr>
        <w:t>Oak Field School (‘the school’) is committed to transparency in its dealings with the public and welcomes the aims of the Freedom of Information Act 2000 and the access provisions of the Data Protection Act 1998, GDPR 2017 and Data Protection Act 2018. The school will make every effort to meet its obligations under the legislation and will regularly review procedures to check that it is doing so.</w:t>
      </w:r>
    </w:p>
    <w:p w:rsidR="00C93C7B" w:rsidRPr="00C93C7B" w:rsidRDefault="00C93C7B" w:rsidP="00C93C7B">
      <w:pPr>
        <w:spacing w:after="0"/>
        <w:rPr>
          <w:rFonts w:asciiTheme="minorHAnsi" w:hAnsiTheme="minorHAnsi" w:cstheme="minorHAnsi"/>
        </w:rPr>
      </w:pPr>
    </w:p>
    <w:p w:rsidR="00C93C7B" w:rsidRPr="00C93C7B" w:rsidRDefault="00C93C7B" w:rsidP="00C93C7B">
      <w:pPr>
        <w:spacing w:after="0"/>
        <w:rPr>
          <w:rFonts w:asciiTheme="minorHAnsi" w:hAnsiTheme="minorHAnsi" w:cstheme="minorHAnsi"/>
        </w:rPr>
      </w:pPr>
      <w:r w:rsidRPr="00C93C7B">
        <w:rPr>
          <w:rFonts w:asciiTheme="minorHAnsi" w:hAnsiTheme="minorHAnsi" w:cstheme="minorHAnsi"/>
        </w:rPr>
        <w:t xml:space="preserve">The starting point for this policy is that the public have a right to access recorded information held by the school and that the school will seek to promote open access to information, subject to exemptions contained within the relevant legislation. </w:t>
      </w:r>
    </w:p>
    <w:p w:rsidR="00C93C7B" w:rsidRPr="00C93C7B" w:rsidRDefault="00C93C7B" w:rsidP="00C93C7B">
      <w:pPr>
        <w:spacing w:after="0"/>
        <w:rPr>
          <w:rFonts w:asciiTheme="minorHAnsi" w:hAnsiTheme="minorHAnsi" w:cstheme="minorHAnsi"/>
        </w:rPr>
      </w:pPr>
    </w:p>
    <w:p w:rsidR="00C93C7B" w:rsidRPr="00C93C7B" w:rsidRDefault="00C93C7B" w:rsidP="00C93C7B">
      <w:pPr>
        <w:spacing w:after="120"/>
        <w:rPr>
          <w:rFonts w:asciiTheme="minorHAnsi" w:hAnsiTheme="minorHAnsi" w:cstheme="minorHAnsi"/>
          <w:b/>
        </w:rPr>
      </w:pPr>
      <w:r w:rsidRPr="00C93C7B">
        <w:rPr>
          <w:rFonts w:asciiTheme="minorHAnsi" w:hAnsiTheme="minorHAnsi" w:cstheme="minorHAnsi"/>
          <w:b/>
        </w:rPr>
        <w:t>2. Background</w:t>
      </w:r>
    </w:p>
    <w:p w:rsidR="00C93C7B" w:rsidRPr="00C93C7B" w:rsidRDefault="00C93C7B" w:rsidP="00C93C7B">
      <w:pPr>
        <w:spacing w:after="0"/>
        <w:rPr>
          <w:rFonts w:asciiTheme="minorHAnsi" w:hAnsiTheme="minorHAnsi" w:cstheme="minorHAnsi"/>
        </w:rPr>
      </w:pPr>
      <w:r w:rsidRPr="00C93C7B">
        <w:rPr>
          <w:rFonts w:asciiTheme="minorHAnsi" w:hAnsiTheme="minorHAnsi" w:cstheme="minorHAnsi"/>
        </w:rPr>
        <w:t>The Freedom of Information Act 2000 (</w:t>
      </w:r>
      <w:proofErr w:type="spellStart"/>
      <w:r w:rsidRPr="00C93C7B">
        <w:rPr>
          <w:rFonts w:asciiTheme="minorHAnsi" w:hAnsiTheme="minorHAnsi" w:cstheme="minorHAnsi"/>
        </w:rPr>
        <w:t>FoIA</w:t>
      </w:r>
      <w:proofErr w:type="spellEnd"/>
      <w:r w:rsidRPr="00C93C7B">
        <w:rPr>
          <w:rFonts w:asciiTheme="minorHAnsi" w:hAnsiTheme="minorHAnsi" w:cstheme="minorHAnsi"/>
        </w:rPr>
        <w:t>) applies to all public authorities and came fully into force on 1</w:t>
      </w:r>
      <w:r w:rsidRPr="00C93C7B">
        <w:rPr>
          <w:rFonts w:asciiTheme="minorHAnsi" w:hAnsiTheme="minorHAnsi" w:cstheme="minorHAnsi"/>
          <w:vertAlign w:val="superscript"/>
        </w:rPr>
        <w:t>st</w:t>
      </w:r>
      <w:r w:rsidRPr="00C93C7B">
        <w:rPr>
          <w:rFonts w:asciiTheme="minorHAnsi" w:hAnsiTheme="minorHAnsi" w:cstheme="minorHAnsi"/>
        </w:rPr>
        <w:t xml:space="preserve"> January 2005. The Act specifically </w:t>
      </w:r>
      <w:r w:rsidRPr="00C93C7B">
        <w:rPr>
          <w:rFonts w:asciiTheme="minorHAnsi" w:hAnsiTheme="minorHAnsi" w:cstheme="minorHAnsi"/>
          <w:noProof/>
        </w:rPr>
        <w:t xml:space="preserve">identifies schools as public authorities (Part IV of Sch 1 of FoIA). </w:t>
      </w:r>
      <w:r w:rsidRPr="00C93C7B">
        <w:rPr>
          <w:rFonts w:asciiTheme="minorHAnsi" w:hAnsiTheme="minorHAnsi" w:cstheme="minorHAnsi"/>
        </w:rPr>
        <w:t>It provides the public with a statutory right of access to recorded information held by authorities (subject to certain exemptions) within twenty working days. The Act applies to all information that falls within the scope of the Act (not just that created from 1</w:t>
      </w:r>
      <w:r w:rsidRPr="00C93C7B">
        <w:rPr>
          <w:rFonts w:asciiTheme="minorHAnsi" w:hAnsiTheme="minorHAnsi" w:cstheme="minorHAnsi"/>
          <w:vertAlign w:val="superscript"/>
        </w:rPr>
        <w:t>st</w:t>
      </w:r>
      <w:r w:rsidRPr="00C93C7B">
        <w:rPr>
          <w:rFonts w:asciiTheme="minorHAnsi" w:hAnsiTheme="minorHAnsi" w:cstheme="minorHAnsi"/>
        </w:rPr>
        <w:t xml:space="preserve"> January 2005) and is fully retrospective. Section 19 of the Act also obliges the school to make information available through an approved “publication scheme”.</w:t>
      </w:r>
    </w:p>
    <w:p w:rsidR="00C93C7B" w:rsidRPr="00C93C7B" w:rsidRDefault="00C93C7B" w:rsidP="00C93C7B">
      <w:pPr>
        <w:spacing w:after="0"/>
        <w:rPr>
          <w:rFonts w:asciiTheme="minorHAnsi" w:hAnsiTheme="minorHAnsi" w:cstheme="minorHAnsi"/>
        </w:rPr>
      </w:pPr>
    </w:p>
    <w:p w:rsidR="00C93C7B" w:rsidRPr="00C93C7B" w:rsidRDefault="00C93C7B" w:rsidP="00C93C7B">
      <w:pPr>
        <w:spacing w:after="0"/>
        <w:rPr>
          <w:rFonts w:asciiTheme="minorHAnsi" w:hAnsiTheme="minorHAnsi" w:cstheme="minorHAnsi"/>
        </w:rPr>
      </w:pPr>
      <w:r w:rsidRPr="00C93C7B">
        <w:rPr>
          <w:rFonts w:asciiTheme="minorHAnsi" w:hAnsiTheme="minorHAnsi" w:cstheme="minorHAnsi"/>
        </w:rPr>
        <w:t xml:space="preserve">In addition, individuals currently have a statutory right of access to their own “personal data” under the Data Protection Act 1998 (DPA). The DPA and </w:t>
      </w:r>
      <w:proofErr w:type="spellStart"/>
      <w:r w:rsidRPr="00C93C7B">
        <w:rPr>
          <w:rFonts w:asciiTheme="minorHAnsi" w:hAnsiTheme="minorHAnsi" w:cstheme="minorHAnsi"/>
        </w:rPr>
        <w:t>FoIA</w:t>
      </w:r>
      <w:proofErr w:type="spellEnd"/>
      <w:r w:rsidRPr="00C93C7B">
        <w:rPr>
          <w:rFonts w:asciiTheme="minorHAnsi" w:hAnsiTheme="minorHAnsi" w:cstheme="minorHAnsi"/>
        </w:rPr>
        <w:t xml:space="preserve"> work together to effectively exempt personal information from disclosure under </w:t>
      </w:r>
      <w:proofErr w:type="spellStart"/>
      <w:r w:rsidRPr="00C93C7B">
        <w:rPr>
          <w:rFonts w:asciiTheme="minorHAnsi" w:hAnsiTheme="minorHAnsi" w:cstheme="minorHAnsi"/>
        </w:rPr>
        <w:t>FoIA</w:t>
      </w:r>
      <w:proofErr w:type="spellEnd"/>
      <w:r w:rsidRPr="00C93C7B">
        <w:rPr>
          <w:rFonts w:asciiTheme="minorHAnsi" w:hAnsiTheme="minorHAnsi" w:cstheme="minorHAnsi"/>
        </w:rPr>
        <w:t>. Changes in the definition of what constitutes personal data means these legal arrangements will be further amended by the GDPR 2017 and the Data Protection Act 2018 when they come into force after 25 May 2018. As the full implications of the legislation becomes clearer, the school will amend this policy to reflect relevant changes.</w:t>
      </w:r>
    </w:p>
    <w:p w:rsidR="00C93C7B" w:rsidRPr="00C93C7B" w:rsidRDefault="00C93C7B" w:rsidP="00C93C7B">
      <w:pPr>
        <w:spacing w:after="0"/>
        <w:rPr>
          <w:rFonts w:asciiTheme="minorHAnsi" w:hAnsiTheme="minorHAnsi" w:cstheme="minorHAnsi"/>
        </w:rPr>
      </w:pPr>
    </w:p>
    <w:p w:rsidR="00C93C7B" w:rsidRPr="00C93C7B" w:rsidRDefault="00C93C7B" w:rsidP="00C93C7B">
      <w:pPr>
        <w:spacing w:after="0"/>
        <w:rPr>
          <w:rFonts w:asciiTheme="minorHAnsi" w:hAnsiTheme="minorHAnsi" w:cstheme="minorHAnsi"/>
        </w:rPr>
      </w:pPr>
      <w:r w:rsidRPr="00C93C7B">
        <w:rPr>
          <w:rFonts w:asciiTheme="minorHAnsi" w:hAnsiTheme="minorHAnsi" w:cstheme="minorHAnsi"/>
        </w:rPr>
        <w:t>The EIR (Environmental Information Regulations 2004) provides a statutory right of access to “environmental information”, as defined in these regulations. The EIR came into force on 1</w:t>
      </w:r>
      <w:r w:rsidRPr="00C93C7B">
        <w:rPr>
          <w:rFonts w:asciiTheme="minorHAnsi" w:hAnsiTheme="minorHAnsi" w:cstheme="minorHAnsi"/>
          <w:vertAlign w:val="superscript"/>
        </w:rPr>
        <w:t>st</w:t>
      </w:r>
      <w:r w:rsidRPr="00C93C7B">
        <w:rPr>
          <w:rFonts w:asciiTheme="minorHAnsi" w:hAnsiTheme="minorHAnsi" w:cstheme="minorHAnsi"/>
        </w:rPr>
        <w:t xml:space="preserve"> January 2005 and replaces the existing 1992 Regulations. The EIR are also fully retrospective. </w:t>
      </w:r>
    </w:p>
    <w:p w:rsidR="00C93C7B" w:rsidRPr="00C93C7B" w:rsidRDefault="00C93C7B" w:rsidP="00C93C7B">
      <w:pPr>
        <w:spacing w:after="0"/>
        <w:rPr>
          <w:rFonts w:asciiTheme="minorHAnsi" w:hAnsiTheme="minorHAnsi" w:cstheme="minorHAnsi"/>
        </w:rPr>
      </w:pPr>
    </w:p>
    <w:p w:rsidR="00C93C7B" w:rsidRPr="00C93C7B" w:rsidRDefault="00C93C7B" w:rsidP="00C93C7B">
      <w:pPr>
        <w:spacing w:after="0"/>
        <w:rPr>
          <w:rFonts w:asciiTheme="minorHAnsi" w:hAnsiTheme="minorHAnsi" w:cstheme="minorHAnsi"/>
        </w:rPr>
      </w:pPr>
      <w:r w:rsidRPr="00C93C7B">
        <w:rPr>
          <w:rFonts w:asciiTheme="minorHAnsi" w:hAnsiTheme="minorHAnsi" w:cstheme="minorHAnsi"/>
        </w:rPr>
        <w:t>The Information Commissioner Office (ICO) regulates and enforces these three statutory/legal information access regimes.</w:t>
      </w:r>
    </w:p>
    <w:p w:rsidR="00C93C7B" w:rsidRPr="00C93C7B" w:rsidRDefault="00C93C7B" w:rsidP="00C93C7B">
      <w:pPr>
        <w:spacing w:after="0"/>
        <w:rPr>
          <w:rFonts w:asciiTheme="minorHAnsi" w:hAnsiTheme="minorHAnsi" w:cstheme="minorHAnsi"/>
        </w:rPr>
      </w:pPr>
    </w:p>
    <w:p w:rsidR="00C93C7B" w:rsidRPr="00C93C7B" w:rsidRDefault="00C93C7B" w:rsidP="00C93C7B">
      <w:pPr>
        <w:spacing w:after="0"/>
        <w:rPr>
          <w:rFonts w:asciiTheme="minorHAnsi" w:hAnsiTheme="minorHAnsi" w:cstheme="minorHAnsi"/>
        </w:rPr>
      </w:pPr>
      <w:r w:rsidRPr="00C93C7B">
        <w:rPr>
          <w:rFonts w:asciiTheme="minorHAnsi" w:hAnsiTheme="minorHAnsi" w:cstheme="minorHAnsi"/>
        </w:rPr>
        <w:t xml:space="preserve">Each regime contains categories of exempt information, where information can be withheld. An applicant who is member of the public can refer any decision to withhold information under an exemption to the ICO, who can overturn a decision to withhold information. For the purposes of this policy, the “public” is defined as any individual or organisation anywhere in the world and an “information request” refers to any request for recorded information made under the </w:t>
      </w:r>
      <w:proofErr w:type="spellStart"/>
      <w:r w:rsidRPr="00C93C7B">
        <w:rPr>
          <w:rFonts w:asciiTheme="minorHAnsi" w:hAnsiTheme="minorHAnsi" w:cstheme="minorHAnsi"/>
        </w:rPr>
        <w:t>FoIA</w:t>
      </w:r>
      <w:proofErr w:type="spellEnd"/>
      <w:r w:rsidRPr="00C93C7B">
        <w:rPr>
          <w:rFonts w:asciiTheme="minorHAnsi" w:hAnsiTheme="minorHAnsi" w:cstheme="minorHAnsi"/>
        </w:rPr>
        <w:t>, EIR or DPA.</w:t>
      </w:r>
    </w:p>
    <w:p w:rsidR="00C93C7B" w:rsidRPr="00C93C7B" w:rsidRDefault="00C93C7B" w:rsidP="00C93C7B">
      <w:pPr>
        <w:spacing w:after="0"/>
        <w:rPr>
          <w:rFonts w:asciiTheme="minorHAnsi" w:hAnsiTheme="minorHAnsi" w:cstheme="minorHAnsi"/>
        </w:rPr>
      </w:pPr>
    </w:p>
    <w:p w:rsidR="00C93C7B" w:rsidRPr="00C93C7B" w:rsidRDefault="00C93C7B" w:rsidP="00C93C7B">
      <w:pPr>
        <w:spacing w:after="120"/>
        <w:rPr>
          <w:rFonts w:asciiTheme="minorHAnsi" w:hAnsiTheme="minorHAnsi" w:cstheme="minorHAnsi"/>
        </w:rPr>
      </w:pPr>
      <w:r w:rsidRPr="00C93C7B">
        <w:rPr>
          <w:rFonts w:asciiTheme="minorHAnsi" w:hAnsiTheme="minorHAnsi" w:cstheme="minorHAnsi"/>
          <w:b/>
        </w:rPr>
        <w:t>3. Timescales</w:t>
      </w:r>
    </w:p>
    <w:p w:rsidR="00C93C7B" w:rsidRPr="00C93C7B" w:rsidRDefault="00C93C7B" w:rsidP="00C93C7B">
      <w:pPr>
        <w:pStyle w:val="DfESBullets"/>
        <w:numPr>
          <w:ilvl w:val="0"/>
          <w:numId w:val="0"/>
        </w:numPr>
        <w:spacing w:after="120" w:line="276" w:lineRule="auto"/>
        <w:rPr>
          <w:rFonts w:asciiTheme="minorHAnsi" w:hAnsiTheme="minorHAnsi" w:cstheme="minorHAnsi"/>
          <w:sz w:val="22"/>
          <w:szCs w:val="22"/>
        </w:rPr>
      </w:pPr>
      <w:r w:rsidRPr="00C93C7B">
        <w:rPr>
          <w:rFonts w:asciiTheme="minorHAnsi" w:hAnsiTheme="minorHAnsi" w:cstheme="minorHAnsi"/>
          <w:sz w:val="22"/>
          <w:szCs w:val="22"/>
        </w:rPr>
        <w:t>Freedom of Information (and EIR) requests should be dealt with within 20 working days, excluding school holidays.</w:t>
      </w:r>
    </w:p>
    <w:p w:rsidR="00C93C7B" w:rsidRPr="00C93C7B" w:rsidRDefault="00C93C7B" w:rsidP="00C93C7B">
      <w:pPr>
        <w:pStyle w:val="DfESBullets"/>
        <w:numPr>
          <w:ilvl w:val="0"/>
          <w:numId w:val="0"/>
        </w:numPr>
        <w:spacing w:after="0" w:line="276" w:lineRule="auto"/>
        <w:rPr>
          <w:rFonts w:asciiTheme="minorHAnsi" w:hAnsiTheme="minorHAnsi" w:cstheme="minorHAnsi"/>
          <w:sz w:val="22"/>
          <w:szCs w:val="22"/>
        </w:rPr>
      </w:pPr>
      <w:r w:rsidRPr="00C93C7B">
        <w:rPr>
          <w:rFonts w:asciiTheme="minorHAnsi" w:hAnsiTheme="minorHAnsi" w:cstheme="minorHAnsi"/>
          <w:sz w:val="22"/>
          <w:szCs w:val="22"/>
        </w:rPr>
        <w:t xml:space="preserve">Requests for Data Protection (subject access requests) should be dealt with within 30 calendar days in </w:t>
      </w:r>
      <w:r w:rsidRPr="00C93C7B">
        <w:rPr>
          <w:rFonts w:asciiTheme="minorHAnsi" w:hAnsiTheme="minorHAnsi" w:cstheme="minorHAnsi"/>
          <w:sz w:val="22"/>
          <w:szCs w:val="22"/>
        </w:rPr>
        <w:lastRenderedPageBreak/>
        <w:t>accordance with the GDPR / DPA 2018</w:t>
      </w:r>
      <w:r w:rsidR="004606FE">
        <w:rPr>
          <w:rFonts w:asciiTheme="minorHAnsi" w:hAnsiTheme="minorHAnsi" w:cstheme="minorHAnsi"/>
          <w:sz w:val="22"/>
          <w:szCs w:val="22"/>
        </w:rPr>
        <w:t xml:space="preserve">. </w:t>
      </w:r>
      <w:r w:rsidRPr="00C93C7B">
        <w:rPr>
          <w:rFonts w:asciiTheme="minorHAnsi" w:hAnsiTheme="minorHAnsi" w:cstheme="minorHAnsi"/>
          <w:sz w:val="22"/>
          <w:szCs w:val="22"/>
        </w:rPr>
        <w:t xml:space="preserve"> Requests for access to pupil education records under Education (Pupil Information) (England) Regulations 2000 should be dealt with within 15 school days.</w:t>
      </w:r>
    </w:p>
    <w:p w:rsidR="00C93C7B" w:rsidRPr="00C93C7B" w:rsidRDefault="00C93C7B" w:rsidP="00C93C7B">
      <w:pPr>
        <w:spacing w:after="0"/>
        <w:rPr>
          <w:rFonts w:asciiTheme="minorHAnsi" w:hAnsiTheme="minorHAnsi" w:cstheme="minorHAnsi"/>
        </w:rPr>
      </w:pPr>
    </w:p>
    <w:p w:rsidR="00C93C7B" w:rsidRPr="00C93C7B" w:rsidRDefault="00C93C7B" w:rsidP="00C93C7B">
      <w:pPr>
        <w:spacing w:after="120"/>
        <w:rPr>
          <w:rFonts w:asciiTheme="minorHAnsi" w:hAnsiTheme="minorHAnsi" w:cstheme="minorHAnsi"/>
          <w:b/>
        </w:rPr>
      </w:pPr>
      <w:r w:rsidRPr="00C93C7B">
        <w:rPr>
          <w:rFonts w:asciiTheme="minorHAnsi" w:hAnsiTheme="minorHAnsi" w:cstheme="minorHAnsi"/>
          <w:b/>
        </w:rPr>
        <w:t>4. Delegated responsibilities</w:t>
      </w:r>
    </w:p>
    <w:p w:rsidR="00C93C7B" w:rsidRPr="00C93C7B" w:rsidRDefault="00C93C7B" w:rsidP="00C93C7B">
      <w:pPr>
        <w:spacing w:after="0"/>
        <w:rPr>
          <w:rFonts w:asciiTheme="minorHAnsi" w:hAnsiTheme="minorHAnsi" w:cstheme="minorHAnsi"/>
        </w:rPr>
      </w:pPr>
      <w:r w:rsidRPr="00C93C7B">
        <w:rPr>
          <w:rFonts w:asciiTheme="minorHAnsi" w:hAnsiTheme="minorHAnsi" w:cstheme="minorHAnsi"/>
        </w:rPr>
        <w:t xml:space="preserve">Overall responsibility for ensuring that the school meets the statutory requirements of the </w:t>
      </w:r>
      <w:proofErr w:type="spellStart"/>
      <w:r w:rsidRPr="00C93C7B">
        <w:rPr>
          <w:rFonts w:asciiTheme="minorHAnsi" w:hAnsiTheme="minorHAnsi" w:cstheme="minorHAnsi"/>
        </w:rPr>
        <w:t>FoIA</w:t>
      </w:r>
      <w:proofErr w:type="spellEnd"/>
      <w:r w:rsidRPr="00C93C7B">
        <w:rPr>
          <w:rFonts w:asciiTheme="minorHAnsi" w:hAnsiTheme="minorHAnsi" w:cstheme="minorHAnsi"/>
        </w:rPr>
        <w:t>, EIR and DPA rests with the Governors and the Chair of Governors has overall responsibility for information management issues. They have delegated the day-to-day responsibility of implementation to the Headteacher.</w:t>
      </w:r>
    </w:p>
    <w:p w:rsidR="00C93C7B" w:rsidRPr="00C93C7B" w:rsidRDefault="00C93C7B" w:rsidP="00C93C7B">
      <w:pPr>
        <w:spacing w:after="0"/>
        <w:rPr>
          <w:rFonts w:asciiTheme="minorHAnsi" w:hAnsiTheme="minorHAnsi" w:cstheme="minorHAnsi"/>
        </w:rPr>
      </w:pPr>
    </w:p>
    <w:p w:rsidR="00C93C7B" w:rsidRPr="00C93C7B" w:rsidRDefault="00C93C7B" w:rsidP="00C93C7B">
      <w:pPr>
        <w:spacing w:after="0"/>
        <w:rPr>
          <w:rFonts w:asciiTheme="minorHAnsi" w:hAnsiTheme="minorHAnsi" w:cstheme="minorHAnsi"/>
        </w:rPr>
      </w:pPr>
      <w:r w:rsidRPr="00C93C7B">
        <w:rPr>
          <w:rFonts w:asciiTheme="minorHAnsi" w:hAnsiTheme="minorHAnsi" w:cstheme="minorHAnsi"/>
        </w:rPr>
        <w:t xml:space="preserve">The Headteacher is assisted by the Data Protection Officer who currently has responsibility for ‘access to information’. All school staff are responsible for ensuring that they handle requests for information in compliance with the provisions of the various Acts, taking advice from the </w:t>
      </w:r>
      <w:proofErr w:type="spellStart"/>
      <w:r w:rsidRPr="00C93C7B">
        <w:rPr>
          <w:rFonts w:asciiTheme="minorHAnsi" w:hAnsiTheme="minorHAnsi" w:cstheme="minorHAnsi"/>
        </w:rPr>
        <w:t>FoI</w:t>
      </w:r>
      <w:proofErr w:type="spellEnd"/>
      <w:r w:rsidRPr="00C93C7B">
        <w:rPr>
          <w:rFonts w:asciiTheme="minorHAnsi" w:hAnsiTheme="minorHAnsi" w:cstheme="minorHAnsi"/>
        </w:rPr>
        <w:t xml:space="preserve"> officer where necessary.</w:t>
      </w:r>
    </w:p>
    <w:p w:rsidR="00C93C7B" w:rsidRPr="00C93C7B" w:rsidRDefault="00C93C7B" w:rsidP="00C93C7B">
      <w:pPr>
        <w:spacing w:after="0"/>
        <w:rPr>
          <w:rFonts w:asciiTheme="minorHAnsi" w:hAnsiTheme="minorHAnsi" w:cstheme="minorHAnsi"/>
        </w:rPr>
      </w:pPr>
    </w:p>
    <w:p w:rsidR="00C93C7B" w:rsidRPr="00C93C7B" w:rsidRDefault="00C93C7B" w:rsidP="00C93C7B">
      <w:pPr>
        <w:spacing w:after="120"/>
        <w:rPr>
          <w:rFonts w:asciiTheme="minorHAnsi" w:hAnsiTheme="minorHAnsi" w:cstheme="minorHAnsi"/>
          <w:b/>
        </w:rPr>
      </w:pPr>
      <w:r w:rsidRPr="00C93C7B">
        <w:rPr>
          <w:rFonts w:asciiTheme="minorHAnsi" w:hAnsiTheme="minorHAnsi" w:cstheme="minorHAnsi"/>
          <w:b/>
        </w:rPr>
        <w:t>5. Scope</w:t>
      </w:r>
    </w:p>
    <w:p w:rsidR="00C93C7B" w:rsidRPr="00C93C7B" w:rsidRDefault="00C93C7B" w:rsidP="00C93C7B">
      <w:pPr>
        <w:spacing w:after="120"/>
        <w:rPr>
          <w:rFonts w:asciiTheme="minorHAnsi" w:hAnsiTheme="minorHAnsi" w:cstheme="minorHAnsi"/>
        </w:rPr>
      </w:pPr>
      <w:r w:rsidRPr="00C93C7B">
        <w:rPr>
          <w:rFonts w:asciiTheme="minorHAnsi" w:hAnsiTheme="minorHAnsi" w:cstheme="minorHAnsi"/>
        </w:rPr>
        <w:t>This policy applies to all recorded information held by the school that relates to the business of the school. This includes:</w:t>
      </w:r>
    </w:p>
    <w:p w:rsidR="00C93C7B" w:rsidRPr="00C93C7B" w:rsidRDefault="00C93C7B" w:rsidP="00C93C7B">
      <w:pPr>
        <w:numPr>
          <w:ilvl w:val="0"/>
          <w:numId w:val="24"/>
        </w:numPr>
        <w:spacing w:after="0"/>
        <w:ind w:left="714" w:hanging="357"/>
        <w:jc w:val="left"/>
        <w:rPr>
          <w:rFonts w:asciiTheme="minorHAnsi" w:hAnsiTheme="minorHAnsi" w:cstheme="minorHAnsi"/>
        </w:rPr>
      </w:pPr>
      <w:r w:rsidRPr="00C93C7B">
        <w:rPr>
          <w:rFonts w:asciiTheme="minorHAnsi" w:hAnsiTheme="minorHAnsi" w:cstheme="minorHAnsi"/>
        </w:rPr>
        <w:t>Information created and held by the school</w:t>
      </w:r>
    </w:p>
    <w:p w:rsidR="00C93C7B" w:rsidRPr="00C93C7B" w:rsidRDefault="00C93C7B" w:rsidP="00C93C7B">
      <w:pPr>
        <w:numPr>
          <w:ilvl w:val="0"/>
          <w:numId w:val="24"/>
        </w:numPr>
        <w:spacing w:after="0"/>
        <w:ind w:left="714" w:hanging="357"/>
        <w:jc w:val="left"/>
        <w:rPr>
          <w:rFonts w:asciiTheme="minorHAnsi" w:hAnsiTheme="minorHAnsi" w:cstheme="minorHAnsi"/>
        </w:rPr>
      </w:pPr>
      <w:r w:rsidRPr="00C93C7B">
        <w:rPr>
          <w:rFonts w:asciiTheme="minorHAnsi" w:hAnsiTheme="minorHAnsi" w:cstheme="minorHAnsi"/>
        </w:rPr>
        <w:t>Information created by the school and held by another organisation on our behalf</w:t>
      </w:r>
    </w:p>
    <w:p w:rsidR="00C93C7B" w:rsidRPr="00C93C7B" w:rsidRDefault="00C93C7B" w:rsidP="00C93C7B">
      <w:pPr>
        <w:numPr>
          <w:ilvl w:val="0"/>
          <w:numId w:val="24"/>
        </w:numPr>
        <w:spacing w:after="0"/>
        <w:ind w:left="714" w:hanging="357"/>
        <w:jc w:val="left"/>
        <w:rPr>
          <w:rFonts w:asciiTheme="minorHAnsi" w:hAnsiTheme="minorHAnsi" w:cstheme="minorHAnsi"/>
        </w:rPr>
      </w:pPr>
      <w:r w:rsidRPr="00C93C7B">
        <w:rPr>
          <w:rFonts w:asciiTheme="minorHAnsi" w:hAnsiTheme="minorHAnsi" w:cstheme="minorHAnsi"/>
        </w:rPr>
        <w:t>Information held by the school provided by third parties, where this relates to a function or business of the school (such as contractual information) and</w:t>
      </w:r>
    </w:p>
    <w:p w:rsidR="00C93C7B" w:rsidRPr="00C93C7B" w:rsidRDefault="00C93C7B" w:rsidP="00C93C7B">
      <w:pPr>
        <w:numPr>
          <w:ilvl w:val="0"/>
          <w:numId w:val="24"/>
        </w:numPr>
        <w:spacing w:after="0"/>
        <w:ind w:left="714" w:hanging="357"/>
        <w:jc w:val="left"/>
        <w:rPr>
          <w:rFonts w:asciiTheme="minorHAnsi" w:hAnsiTheme="minorHAnsi" w:cstheme="minorHAnsi"/>
        </w:rPr>
      </w:pPr>
      <w:r w:rsidRPr="00C93C7B">
        <w:rPr>
          <w:rFonts w:asciiTheme="minorHAnsi" w:hAnsiTheme="minorHAnsi" w:cstheme="minorHAnsi"/>
        </w:rPr>
        <w:t>Information held by the school relating to Governors where the information relates to the functions or business of the school</w:t>
      </w:r>
    </w:p>
    <w:p w:rsidR="00C93C7B" w:rsidRPr="00C93C7B" w:rsidRDefault="00C93C7B" w:rsidP="00C93C7B">
      <w:pPr>
        <w:spacing w:after="0"/>
        <w:rPr>
          <w:rFonts w:asciiTheme="minorHAnsi" w:hAnsiTheme="minorHAnsi" w:cstheme="minorHAnsi"/>
        </w:rPr>
      </w:pPr>
    </w:p>
    <w:p w:rsidR="00C93C7B" w:rsidRPr="00C93C7B" w:rsidRDefault="00C93C7B" w:rsidP="00C93C7B">
      <w:pPr>
        <w:spacing w:after="0"/>
        <w:rPr>
          <w:rFonts w:asciiTheme="minorHAnsi" w:hAnsiTheme="minorHAnsi" w:cstheme="minorHAnsi"/>
        </w:rPr>
      </w:pPr>
      <w:r w:rsidRPr="00C93C7B">
        <w:rPr>
          <w:rFonts w:asciiTheme="minorHAnsi" w:hAnsiTheme="minorHAnsi" w:cstheme="minorHAnsi"/>
        </w:rPr>
        <w:t>As a general rule, this policy does not cover personal written communications (such as personal e-mails sent by staff). The school’s Data Protection Policy establishes the standards regarding the use of “personal data” (as defined in the Data Protection Act 1998, GDPR 2017 and Data Protection Act 2018).</w:t>
      </w:r>
    </w:p>
    <w:p w:rsidR="00C93C7B" w:rsidRPr="00C93C7B" w:rsidRDefault="00C93C7B" w:rsidP="00C93C7B">
      <w:pPr>
        <w:spacing w:after="0"/>
        <w:rPr>
          <w:rFonts w:asciiTheme="minorHAnsi" w:hAnsiTheme="minorHAnsi" w:cstheme="minorHAnsi"/>
        </w:rPr>
      </w:pPr>
    </w:p>
    <w:p w:rsidR="00C93C7B" w:rsidRPr="00C93C7B" w:rsidRDefault="00C93C7B" w:rsidP="00C93C7B">
      <w:pPr>
        <w:spacing w:after="120"/>
        <w:rPr>
          <w:rFonts w:asciiTheme="minorHAnsi" w:hAnsiTheme="minorHAnsi" w:cstheme="minorHAnsi"/>
          <w:b/>
        </w:rPr>
      </w:pPr>
      <w:r w:rsidRPr="00C93C7B">
        <w:rPr>
          <w:rFonts w:asciiTheme="minorHAnsi" w:hAnsiTheme="minorHAnsi" w:cstheme="minorHAnsi"/>
          <w:b/>
        </w:rPr>
        <w:t>6. Requesting information</w:t>
      </w:r>
    </w:p>
    <w:p w:rsidR="00C93C7B" w:rsidRPr="00C93C7B" w:rsidRDefault="00C93C7B" w:rsidP="00C93C7B">
      <w:pPr>
        <w:spacing w:after="120"/>
        <w:rPr>
          <w:rFonts w:asciiTheme="minorHAnsi" w:hAnsiTheme="minorHAnsi" w:cstheme="minorHAnsi"/>
          <w:b/>
          <w:i/>
        </w:rPr>
      </w:pPr>
      <w:r w:rsidRPr="00C93C7B">
        <w:rPr>
          <w:rFonts w:asciiTheme="minorHAnsi" w:hAnsiTheme="minorHAnsi" w:cstheme="minorHAnsi"/>
          <w:b/>
          <w:i/>
        </w:rPr>
        <w:t>6.1 Procedures</w:t>
      </w:r>
    </w:p>
    <w:p w:rsidR="00C93C7B" w:rsidRPr="00C93C7B" w:rsidRDefault="00C93C7B" w:rsidP="00C93C7B">
      <w:pPr>
        <w:spacing w:after="0"/>
        <w:rPr>
          <w:rFonts w:asciiTheme="minorHAnsi" w:hAnsiTheme="minorHAnsi" w:cstheme="minorHAnsi"/>
        </w:rPr>
      </w:pPr>
      <w:r w:rsidRPr="00C93C7B">
        <w:rPr>
          <w:rFonts w:asciiTheme="minorHAnsi" w:hAnsiTheme="minorHAnsi" w:cstheme="minorHAnsi"/>
        </w:rPr>
        <w:t xml:space="preserve">The practical process for handling information enquiries in line with the relevant legislation will be produced and copies can be obtained from the school’s </w:t>
      </w:r>
      <w:proofErr w:type="spellStart"/>
      <w:r w:rsidRPr="00C93C7B">
        <w:rPr>
          <w:rFonts w:asciiTheme="minorHAnsi" w:hAnsiTheme="minorHAnsi" w:cstheme="minorHAnsi"/>
        </w:rPr>
        <w:t>FoI</w:t>
      </w:r>
      <w:proofErr w:type="spellEnd"/>
      <w:r w:rsidRPr="00C93C7B">
        <w:rPr>
          <w:rFonts w:asciiTheme="minorHAnsi" w:hAnsiTheme="minorHAnsi" w:cstheme="minorHAnsi"/>
        </w:rPr>
        <w:t xml:space="preserve"> Lead or Lead for ‘access to information’. </w:t>
      </w:r>
    </w:p>
    <w:p w:rsidR="00C93C7B" w:rsidRPr="00C93C7B" w:rsidRDefault="00C93C7B" w:rsidP="00C93C7B">
      <w:pPr>
        <w:spacing w:after="0"/>
        <w:rPr>
          <w:rFonts w:asciiTheme="minorHAnsi" w:hAnsiTheme="minorHAnsi" w:cstheme="minorHAnsi"/>
        </w:rPr>
      </w:pPr>
    </w:p>
    <w:p w:rsidR="00C93C7B" w:rsidRPr="00C93C7B" w:rsidRDefault="00C93C7B" w:rsidP="00C93C7B">
      <w:pPr>
        <w:spacing w:after="0"/>
        <w:rPr>
          <w:rFonts w:asciiTheme="minorHAnsi" w:hAnsiTheme="minorHAnsi" w:cstheme="minorHAnsi"/>
        </w:rPr>
      </w:pPr>
      <w:r w:rsidRPr="00C93C7B">
        <w:rPr>
          <w:rFonts w:asciiTheme="minorHAnsi" w:hAnsiTheme="minorHAnsi" w:cstheme="minorHAnsi"/>
        </w:rPr>
        <w:t xml:space="preserve">The school has a duty under both the </w:t>
      </w:r>
      <w:proofErr w:type="spellStart"/>
      <w:r w:rsidRPr="00C93C7B">
        <w:rPr>
          <w:rFonts w:asciiTheme="minorHAnsi" w:hAnsiTheme="minorHAnsi" w:cstheme="minorHAnsi"/>
        </w:rPr>
        <w:t>FoIA</w:t>
      </w:r>
      <w:proofErr w:type="spellEnd"/>
      <w:r w:rsidRPr="00C93C7B">
        <w:rPr>
          <w:rFonts w:asciiTheme="minorHAnsi" w:hAnsiTheme="minorHAnsi" w:cstheme="minorHAnsi"/>
        </w:rPr>
        <w:t xml:space="preserve"> and EIR to provide advice and assistance to applicants making information requests. This includes assisting the applicant in making the application for information. Although no such duty exists under the DPA, the same level of care will be provided.</w:t>
      </w:r>
    </w:p>
    <w:p w:rsidR="00C93C7B" w:rsidRPr="00C93C7B" w:rsidRDefault="00C93C7B" w:rsidP="00C93C7B">
      <w:pPr>
        <w:spacing w:after="0"/>
        <w:rPr>
          <w:rFonts w:asciiTheme="minorHAnsi" w:hAnsiTheme="minorHAnsi" w:cstheme="minorHAnsi"/>
        </w:rPr>
      </w:pPr>
    </w:p>
    <w:p w:rsidR="00C93C7B" w:rsidRPr="00C93C7B" w:rsidRDefault="00C93C7B" w:rsidP="00C93C7B">
      <w:pPr>
        <w:spacing w:after="120"/>
        <w:rPr>
          <w:rFonts w:asciiTheme="minorHAnsi" w:hAnsiTheme="minorHAnsi" w:cstheme="minorHAnsi"/>
          <w:b/>
          <w:i/>
        </w:rPr>
      </w:pPr>
      <w:r w:rsidRPr="00C93C7B">
        <w:rPr>
          <w:rFonts w:asciiTheme="minorHAnsi" w:hAnsiTheme="minorHAnsi" w:cstheme="minorHAnsi"/>
          <w:b/>
          <w:i/>
        </w:rPr>
        <w:t>6.2 Charges</w:t>
      </w:r>
    </w:p>
    <w:p w:rsidR="00C93C7B" w:rsidRPr="00C93C7B" w:rsidRDefault="00C93C7B" w:rsidP="00C93C7B">
      <w:pPr>
        <w:shd w:val="clear" w:color="auto" w:fill="FFFFFF"/>
        <w:spacing w:after="240" w:line="240" w:lineRule="auto"/>
        <w:jc w:val="left"/>
        <w:rPr>
          <w:rFonts w:asciiTheme="minorHAnsi" w:eastAsia="Calibri" w:hAnsiTheme="minorHAnsi" w:cstheme="minorHAnsi"/>
          <w:color w:val="000000"/>
          <w:lang w:eastAsia="en-GB"/>
        </w:rPr>
      </w:pPr>
      <w:r w:rsidRPr="00C93C7B">
        <w:rPr>
          <w:rFonts w:asciiTheme="minorHAnsi" w:eastAsia="Calibri" w:hAnsiTheme="minorHAnsi" w:cstheme="minorHAnsi"/>
          <w:color w:val="000000"/>
          <w:lang w:eastAsia="en-GB"/>
        </w:rPr>
        <w:t xml:space="preserve">The Governing Body may charge a fee for complying with requests, as calculated in accordance with </w:t>
      </w:r>
      <w:proofErr w:type="spellStart"/>
      <w:r w:rsidRPr="00C93C7B">
        <w:rPr>
          <w:rFonts w:asciiTheme="minorHAnsi" w:eastAsia="Calibri" w:hAnsiTheme="minorHAnsi" w:cstheme="minorHAnsi"/>
          <w:color w:val="000000"/>
          <w:lang w:eastAsia="en-GB"/>
        </w:rPr>
        <w:t>FoIA</w:t>
      </w:r>
      <w:proofErr w:type="spellEnd"/>
      <w:r w:rsidRPr="00C93C7B">
        <w:rPr>
          <w:rFonts w:asciiTheme="minorHAnsi" w:eastAsia="Calibri" w:hAnsiTheme="minorHAnsi" w:cstheme="minorHAnsi"/>
          <w:color w:val="000000"/>
          <w:lang w:eastAsia="en-GB"/>
        </w:rPr>
        <w:t xml:space="preserve"> regulations (these conditions are explained in detail in the ICO publication; </w:t>
      </w:r>
      <w:hyperlink r:id="rId13" w:history="1">
        <w:r w:rsidRPr="00C93C7B">
          <w:rPr>
            <w:rFonts w:asciiTheme="minorHAnsi" w:eastAsia="Calibri" w:hAnsiTheme="minorHAnsi" w:cstheme="minorHAnsi"/>
            <w:color w:val="0563C1"/>
            <w:u w:val="single"/>
            <w:lang w:eastAsia="en-GB"/>
          </w:rPr>
          <w:t>https://ico.org.uk/media/for-organisations/documents/1635/fees_cost_of_compliance_exceeds_appropriate_limit.pdf</w:t>
        </w:r>
      </w:hyperlink>
      <w:r w:rsidRPr="00C93C7B">
        <w:rPr>
          <w:rFonts w:asciiTheme="minorHAnsi" w:eastAsia="Calibri" w:hAnsiTheme="minorHAnsi" w:cstheme="minorHAnsi"/>
          <w:lang w:eastAsia="en-GB"/>
        </w:rPr>
        <w:t xml:space="preserve">) </w:t>
      </w:r>
      <w:r w:rsidRPr="00C93C7B">
        <w:rPr>
          <w:rFonts w:asciiTheme="minorHAnsi" w:eastAsia="Calibri" w:hAnsiTheme="minorHAnsi" w:cstheme="minorHAnsi"/>
          <w:color w:val="000000"/>
          <w:lang w:eastAsia="en-GB"/>
        </w:rPr>
        <w:t xml:space="preserve">. </w:t>
      </w:r>
    </w:p>
    <w:p w:rsidR="00C93C7B" w:rsidRPr="00C93C7B" w:rsidRDefault="00C93C7B" w:rsidP="00C93C7B">
      <w:pPr>
        <w:spacing w:after="0"/>
        <w:rPr>
          <w:rFonts w:asciiTheme="minorHAnsi" w:hAnsiTheme="minorHAnsi" w:cstheme="minorHAnsi"/>
        </w:rPr>
      </w:pPr>
      <w:r w:rsidRPr="00C93C7B">
        <w:rPr>
          <w:rFonts w:asciiTheme="minorHAnsi" w:hAnsiTheme="minorHAnsi" w:cstheme="minorHAnsi"/>
        </w:rPr>
        <w:lastRenderedPageBreak/>
        <w:t>Where the school estimates that the cost of locating the information will exceed the statutory threshold of £450 or around 18 hours work, it will consider whether to comply with the request. The school is not obliged to comply with such a request but may choose to do so.</w:t>
      </w:r>
    </w:p>
    <w:p w:rsidR="00C93C7B" w:rsidRPr="00C93C7B" w:rsidRDefault="00C93C7B" w:rsidP="00C93C7B">
      <w:pPr>
        <w:spacing w:after="0"/>
        <w:rPr>
          <w:rFonts w:asciiTheme="minorHAnsi" w:hAnsiTheme="minorHAnsi" w:cstheme="minorHAnsi"/>
        </w:rPr>
      </w:pPr>
    </w:p>
    <w:p w:rsidR="00C93C7B" w:rsidRPr="00C93C7B" w:rsidRDefault="00C93C7B" w:rsidP="00C93C7B">
      <w:pPr>
        <w:shd w:val="clear" w:color="auto" w:fill="FFFFFF"/>
        <w:spacing w:after="240" w:line="240" w:lineRule="auto"/>
        <w:jc w:val="left"/>
        <w:rPr>
          <w:rFonts w:asciiTheme="minorHAnsi" w:hAnsiTheme="minorHAnsi" w:cstheme="minorHAnsi"/>
          <w:color w:val="000000"/>
        </w:rPr>
      </w:pPr>
      <w:r w:rsidRPr="00C93C7B">
        <w:rPr>
          <w:rFonts w:asciiTheme="minorHAnsi" w:eastAsia="Calibri" w:hAnsiTheme="minorHAnsi" w:cstheme="minorHAnsi"/>
          <w:color w:val="000000"/>
          <w:lang w:eastAsia="en-GB"/>
        </w:rPr>
        <w:t>If a charge is to be made, the school will give written notice to the applicant before supplying the information requested.</w:t>
      </w:r>
    </w:p>
    <w:p w:rsidR="00C93C7B" w:rsidRPr="00C93C7B" w:rsidRDefault="00C93C7B" w:rsidP="00C93C7B">
      <w:pPr>
        <w:spacing w:after="0"/>
        <w:rPr>
          <w:rFonts w:asciiTheme="minorHAnsi" w:hAnsiTheme="minorHAnsi" w:cstheme="minorHAnsi"/>
        </w:rPr>
      </w:pPr>
    </w:p>
    <w:p w:rsidR="00C93C7B" w:rsidRPr="00C93C7B" w:rsidRDefault="00C93C7B" w:rsidP="00C93C7B">
      <w:pPr>
        <w:spacing w:after="120"/>
        <w:rPr>
          <w:rFonts w:asciiTheme="minorHAnsi" w:hAnsiTheme="minorHAnsi" w:cstheme="minorHAnsi"/>
          <w:b/>
          <w:i/>
        </w:rPr>
      </w:pPr>
      <w:r w:rsidRPr="00C93C7B">
        <w:rPr>
          <w:rFonts w:asciiTheme="minorHAnsi" w:hAnsiTheme="minorHAnsi" w:cstheme="minorHAnsi"/>
          <w:b/>
          <w:i/>
        </w:rPr>
        <w:t>6.3 Publication</w:t>
      </w:r>
    </w:p>
    <w:p w:rsidR="00C93C7B" w:rsidRDefault="00C93C7B" w:rsidP="00C93C7B">
      <w:pPr>
        <w:spacing w:after="0"/>
        <w:rPr>
          <w:rFonts w:asciiTheme="minorHAnsi" w:hAnsiTheme="minorHAnsi" w:cstheme="minorHAnsi"/>
        </w:rPr>
      </w:pPr>
      <w:r w:rsidRPr="00C93C7B">
        <w:rPr>
          <w:rFonts w:asciiTheme="minorHAnsi" w:hAnsiTheme="minorHAnsi" w:cstheme="minorHAnsi"/>
        </w:rPr>
        <w:t xml:space="preserve">Section 19 of the </w:t>
      </w:r>
      <w:proofErr w:type="spellStart"/>
      <w:r w:rsidRPr="00C93C7B">
        <w:rPr>
          <w:rFonts w:asciiTheme="minorHAnsi" w:hAnsiTheme="minorHAnsi" w:cstheme="minorHAnsi"/>
        </w:rPr>
        <w:t>FoIA</w:t>
      </w:r>
      <w:proofErr w:type="spellEnd"/>
      <w:r w:rsidRPr="00C93C7B">
        <w:rPr>
          <w:rFonts w:asciiTheme="minorHAnsi" w:hAnsiTheme="minorHAnsi" w:cstheme="minorHAnsi"/>
        </w:rPr>
        <w:t xml:space="preserve"> obliges the school to make information pro-actively available in the form of a “publication scheme”. This scheme will list categories, or “classes” of information that will routinely be made available without the need for a specific information request. </w:t>
      </w:r>
    </w:p>
    <w:p w:rsidR="00342F07" w:rsidRPr="00C93C7B" w:rsidRDefault="00342F07" w:rsidP="00C93C7B">
      <w:pPr>
        <w:spacing w:after="0"/>
        <w:rPr>
          <w:rFonts w:asciiTheme="minorHAnsi" w:hAnsiTheme="minorHAnsi" w:cstheme="minorHAnsi"/>
        </w:rPr>
      </w:pPr>
    </w:p>
    <w:p w:rsidR="00C93C7B" w:rsidRPr="00C93C7B" w:rsidRDefault="00C93C7B" w:rsidP="00C93C7B">
      <w:pPr>
        <w:spacing w:after="0"/>
        <w:rPr>
          <w:rFonts w:asciiTheme="minorHAnsi" w:hAnsiTheme="minorHAnsi" w:cstheme="minorHAnsi"/>
        </w:rPr>
      </w:pPr>
      <w:r w:rsidRPr="00C93C7B">
        <w:rPr>
          <w:rFonts w:asciiTheme="minorHAnsi" w:hAnsiTheme="minorHAnsi" w:cstheme="minorHAnsi"/>
        </w:rPr>
        <w:t xml:space="preserve">The school will review this scheme regularly. Whenever any information is provided in response to a recorded </w:t>
      </w:r>
      <w:proofErr w:type="spellStart"/>
      <w:r w:rsidRPr="00C93C7B">
        <w:rPr>
          <w:rFonts w:asciiTheme="minorHAnsi" w:hAnsiTheme="minorHAnsi" w:cstheme="minorHAnsi"/>
        </w:rPr>
        <w:t>FoIA</w:t>
      </w:r>
      <w:proofErr w:type="spellEnd"/>
      <w:r w:rsidRPr="00C93C7B">
        <w:rPr>
          <w:rFonts w:asciiTheme="minorHAnsi" w:hAnsiTheme="minorHAnsi" w:cstheme="minorHAnsi"/>
        </w:rPr>
        <w:t xml:space="preserve"> enquiry, the school will assess whether the information is suitable for wider publication. In general, there will be a presumption in favour of publishing such information on the school’s website.</w:t>
      </w:r>
    </w:p>
    <w:p w:rsidR="00C93C7B" w:rsidRPr="00C93C7B" w:rsidRDefault="00C93C7B" w:rsidP="00C93C7B">
      <w:pPr>
        <w:spacing w:after="0"/>
        <w:rPr>
          <w:rFonts w:asciiTheme="minorHAnsi" w:hAnsiTheme="minorHAnsi" w:cstheme="minorHAnsi"/>
        </w:rPr>
      </w:pPr>
    </w:p>
    <w:p w:rsidR="00C93C7B" w:rsidRPr="00C93C7B" w:rsidRDefault="00C93C7B" w:rsidP="00C93C7B">
      <w:pPr>
        <w:spacing w:after="120"/>
        <w:rPr>
          <w:rFonts w:asciiTheme="minorHAnsi" w:hAnsiTheme="minorHAnsi" w:cstheme="minorHAnsi"/>
          <w:b/>
        </w:rPr>
      </w:pPr>
      <w:r w:rsidRPr="00C93C7B">
        <w:rPr>
          <w:rFonts w:asciiTheme="minorHAnsi" w:hAnsiTheme="minorHAnsi" w:cstheme="minorHAnsi"/>
          <w:b/>
        </w:rPr>
        <w:t>7. Withholding Information</w:t>
      </w:r>
    </w:p>
    <w:p w:rsidR="00C93C7B" w:rsidRPr="00C93C7B" w:rsidRDefault="00C93C7B" w:rsidP="00C93C7B">
      <w:pPr>
        <w:spacing w:after="0"/>
        <w:rPr>
          <w:rFonts w:asciiTheme="minorHAnsi" w:hAnsiTheme="minorHAnsi" w:cstheme="minorHAnsi"/>
        </w:rPr>
      </w:pPr>
      <w:r w:rsidRPr="00C93C7B">
        <w:rPr>
          <w:rFonts w:asciiTheme="minorHAnsi" w:hAnsiTheme="minorHAnsi" w:cstheme="minorHAnsi"/>
        </w:rPr>
        <w:t>The Freedom of Information Act contains 23 exemptions allowing the withholding of information. There are two categories; absolute and non-absolute. The school will only withhold information if it falls within the scope of one or more of these exemptions.</w:t>
      </w:r>
    </w:p>
    <w:p w:rsidR="00C93C7B" w:rsidRPr="00C93C7B" w:rsidRDefault="00C93C7B" w:rsidP="00C93C7B">
      <w:pPr>
        <w:spacing w:after="0"/>
        <w:rPr>
          <w:rFonts w:asciiTheme="minorHAnsi" w:hAnsiTheme="minorHAnsi" w:cstheme="minorHAnsi"/>
        </w:rPr>
      </w:pPr>
    </w:p>
    <w:p w:rsidR="00C93C7B" w:rsidRPr="00C93C7B" w:rsidRDefault="00C93C7B" w:rsidP="00C93C7B">
      <w:pPr>
        <w:spacing w:after="0"/>
        <w:rPr>
          <w:rFonts w:asciiTheme="minorHAnsi" w:hAnsiTheme="minorHAnsi" w:cstheme="minorHAnsi"/>
        </w:rPr>
      </w:pPr>
      <w:r w:rsidRPr="00C93C7B">
        <w:rPr>
          <w:rFonts w:asciiTheme="minorHAnsi" w:hAnsiTheme="minorHAnsi" w:cstheme="minorHAnsi"/>
        </w:rPr>
        <w:t>Where an absolute exemption applies, the school can automatically withhold the information. However, where the exemption is non-absolute the information can only be withheld where the school decides that the public interest is best served by withholding the information. Certain exemptions also contain a “prejudice test”, which means that the exemption can only be claimed if disclosing the information would prejudice the interest protected by the exemption.</w:t>
      </w:r>
    </w:p>
    <w:p w:rsidR="00C93C7B" w:rsidRPr="00C93C7B" w:rsidRDefault="00C93C7B" w:rsidP="00C93C7B">
      <w:pPr>
        <w:spacing w:after="0"/>
        <w:rPr>
          <w:rFonts w:asciiTheme="minorHAnsi" w:hAnsiTheme="minorHAnsi" w:cstheme="minorHAnsi"/>
        </w:rPr>
      </w:pPr>
    </w:p>
    <w:p w:rsidR="00C93C7B" w:rsidRPr="00C93C7B" w:rsidRDefault="00C93C7B" w:rsidP="00C93C7B">
      <w:pPr>
        <w:spacing w:after="0"/>
        <w:rPr>
          <w:rFonts w:asciiTheme="minorHAnsi" w:hAnsiTheme="minorHAnsi" w:cstheme="minorHAnsi"/>
        </w:rPr>
      </w:pPr>
      <w:r w:rsidRPr="00C93C7B">
        <w:rPr>
          <w:rFonts w:asciiTheme="minorHAnsi" w:hAnsiTheme="minorHAnsi" w:cstheme="minorHAnsi"/>
        </w:rPr>
        <w:t>The school will only withhold information covered by the exemption. Complete files or documents will not be withheld just because part of the information is covered by an exemption.</w:t>
      </w:r>
    </w:p>
    <w:p w:rsidR="00C93C7B" w:rsidRPr="00C93C7B" w:rsidRDefault="00C93C7B" w:rsidP="00C93C7B">
      <w:pPr>
        <w:spacing w:after="0"/>
        <w:rPr>
          <w:rFonts w:asciiTheme="minorHAnsi" w:hAnsiTheme="minorHAnsi" w:cstheme="minorHAnsi"/>
        </w:rPr>
      </w:pPr>
    </w:p>
    <w:p w:rsidR="00C93C7B" w:rsidRPr="00C93C7B" w:rsidRDefault="00C93C7B" w:rsidP="00C93C7B">
      <w:pPr>
        <w:spacing w:after="120"/>
        <w:rPr>
          <w:rFonts w:asciiTheme="minorHAnsi" w:hAnsiTheme="minorHAnsi" w:cstheme="minorHAnsi"/>
        </w:rPr>
      </w:pPr>
      <w:r w:rsidRPr="00C93C7B">
        <w:rPr>
          <w:rFonts w:asciiTheme="minorHAnsi" w:hAnsiTheme="minorHAnsi" w:cstheme="minorHAnsi"/>
        </w:rPr>
        <w:t>The school will only apply an exemption where it has reason to believe that prejudice might occur to the interest protected by the exemption. In addition, wherever a “public interest” exemption is being considered, the school will only withhold that information which it can demonstrate that the public interest will be best served by withholding. When considering withholding information under a non-absolute exemption the school will consider whether the release of the information would:</w:t>
      </w:r>
    </w:p>
    <w:p w:rsidR="00C93C7B" w:rsidRPr="00C93C7B" w:rsidRDefault="00C93C7B" w:rsidP="00C93C7B">
      <w:pPr>
        <w:numPr>
          <w:ilvl w:val="0"/>
          <w:numId w:val="25"/>
        </w:numPr>
        <w:spacing w:after="0"/>
        <w:jc w:val="left"/>
        <w:rPr>
          <w:rFonts w:asciiTheme="minorHAnsi" w:hAnsiTheme="minorHAnsi" w:cstheme="minorHAnsi"/>
        </w:rPr>
      </w:pPr>
      <w:r w:rsidRPr="00C93C7B">
        <w:rPr>
          <w:rFonts w:asciiTheme="minorHAnsi" w:hAnsiTheme="minorHAnsi" w:cstheme="minorHAnsi"/>
        </w:rPr>
        <w:t>promote further understanding of current issues of public debate;</w:t>
      </w:r>
    </w:p>
    <w:p w:rsidR="00C93C7B" w:rsidRPr="00C93C7B" w:rsidRDefault="00C93C7B" w:rsidP="00C93C7B">
      <w:pPr>
        <w:numPr>
          <w:ilvl w:val="0"/>
          <w:numId w:val="25"/>
        </w:numPr>
        <w:spacing w:after="0"/>
        <w:jc w:val="left"/>
        <w:rPr>
          <w:rFonts w:asciiTheme="minorHAnsi" w:hAnsiTheme="minorHAnsi" w:cstheme="minorHAnsi"/>
        </w:rPr>
      </w:pPr>
      <w:r w:rsidRPr="00C93C7B">
        <w:rPr>
          <w:rFonts w:asciiTheme="minorHAnsi" w:hAnsiTheme="minorHAnsi" w:cstheme="minorHAnsi"/>
        </w:rPr>
        <w:t>promote the accountability of decisions taken by the school and the spending and allocation of public money;</w:t>
      </w:r>
    </w:p>
    <w:p w:rsidR="00C93C7B" w:rsidRPr="00C93C7B" w:rsidRDefault="00C93C7B" w:rsidP="00C93C7B">
      <w:pPr>
        <w:numPr>
          <w:ilvl w:val="0"/>
          <w:numId w:val="25"/>
        </w:numPr>
        <w:spacing w:after="0"/>
        <w:jc w:val="left"/>
        <w:rPr>
          <w:rFonts w:asciiTheme="minorHAnsi" w:hAnsiTheme="minorHAnsi" w:cstheme="minorHAnsi"/>
        </w:rPr>
      </w:pPr>
      <w:r w:rsidRPr="00C93C7B">
        <w:rPr>
          <w:rFonts w:asciiTheme="minorHAnsi" w:hAnsiTheme="minorHAnsi" w:cstheme="minorHAnsi"/>
        </w:rPr>
        <w:t>bring to light matters of public safety;</w:t>
      </w:r>
    </w:p>
    <w:p w:rsidR="00C93C7B" w:rsidRPr="00C93C7B" w:rsidRDefault="00C93C7B" w:rsidP="00C93C7B">
      <w:pPr>
        <w:numPr>
          <w:ilvl w:val="0"/>
          <w:numId w:val="25"/>
        </w:numPr>
        <w:spacing w:after="0"/>
        <w:jc w:val="left"/>
        <w:rPr>
          <w:rFonts w:asciiTheme="minorHAnsi" w:hAnsiTheme="minorHAnsi" w:cstheme="minorHAnsi"/>
        </w:rPr>
      </w:pPr>
      <w:r w:rsidRPr="00C93C7B">
        <w:rPr>
          <w:rFonts w:asciiTheme="minorHAnsi" w:hAnsiTheme="minorHAnsi" w:cstheme="minorHAnsi"/>
        </w:rPr>
        <w:t>allows the public to understand and challenge decisions made by the school;</w:t>
      </w:r>
    </w:p>
    <w:p w:rsidR="00C93C7B" w:rsidRPr="00C93C7B" w:rsidRDefault="00C93C7B" w:rsidP="00C93C7B">
      <w:pPr>
        <w:numPr>
          <w:ilvl w:val="0"/>
          <w:numId w:val="25"/>
        </w:numPr>
        <w:spacing w:after="0"/>
        <w:jc w:val="left"/>
        <w:rPr>
          <w:rFonts w:asciiTheme="minorHAnsi" w:hAnsiTheme="minorHAnsi" w:cstheme="minorHAnsi"/>
        </w:rPr>
      </w:pPr>
      <w:r w:rsidRPr="00C93C7B">
        <w:rPr>
          <w:rFonts w:asciiTheme="minorHAnsi" w:hAnsiTheme="minorHAnsi" w:cstheme="minorHAnsi"/>
        </w:rPr>
        <w:t>be otherwise in the public interest.</w:t>
      </w:r>
    </w:p>
    <w:p w:rsidR="00C93C7B" w:rsidRPr="00C93C7B" w:rsidRDefault="00C93C7B" w:rsidP="00C93C7B">
      <w:pPr>
        <w:spacing w:after="0"/>
        <w:rPr>
          <w:rFonts w:asciiTheme="minorHAnsi" w:hAnsiTheme="minorHAnsi" w:cstheme="minorHAnsi"/>
        </w:rPr>
      </w:pPr>
    </w:p>
    <w:p w:rsidR="00C93C7B" w:rsidRPr="00C93C7B" w:rsidRDefault="00C93C7B" w:rsidP="00C93C7B">
      <w:pPr>
        <w:spacing w:after="0"/>
        <w:rPr>
          <w:rFonts w:asciiTheme="minorHAnsi" w:hAnsiTheme="minorHAnsi" w:cstheme="minorHAnsi"/>
        </w:rPr>
      </w:pPr>
      <w:r w:rsidRPr="00C93C7B">
        <w:rPr>
          <w:rFonts w:asciiTheme="minorHAnsi" w:hAnsiTheme="minorHAnsi" w:cstheme="minorHAnsi"/>
        </w:rPr>
        <w:lastRenderedPageBreak/>
        <w:t>Where information is withheld under an exemption, in most cases the reason behind the decision will be made clear to the applicant, citing the exemption under which the information is being withheld. The applicant will also be given details of the right to challenge the decision through the school’s Governing Body and the right of appeal to the Information Commissioner’s Office.</w:t>
      </w:r>
    </w:p>
    <w:p w:rsidR="00C93C7B" w:rsidRPr="00C93C7B" w:rsidRDefault="00C93C7B" w:rsidP="00C93C7B">
      <w:pPr>
        <w:spacing w:after="0"/>
        <w:rPr>
          <w:rFonts w:asciiTheme="minorHAnsi" w:hAnsiTheme="minorHAnsi" w:cstheme="minorHAnsi"/>
        </w:rPr>
      </w:pPr>
    </w:p>
    <w:p w:rsidR="00C93C7B" w:rsidRPr="00C93C7B" w:rsidRDefault="00C93C7B" w:rsidP="00C93C7B">
      <w:pPr>
        <w:spacing w:after="0"/>
        <w:rPr>
          <w:rFonts w:asciiTheme="minorHAnsi" w:hAnsiTheme="minorHAnsi" w:cstheme="minorHAnsi"/>
        </w:rPr>
      </w:pPr>
      <w:r w:rsidRPr="00C93C7B">
        <w:rPr>
          <w:rFonts w:asciiTheme="minorHAnsi" w:hAnsiTheme="minorHAnsi" w:cstheme="minorHAnsi"/>
        </w:rPr>
        <w:t>Where a staff member plans to apply an exemption, s/he may consider whether other schools hold similar information. If this is likely, s/he may contact the relevant school(s) to discuss the substance of request and ensure that a consistent response is provided to the applicant.</w:t>
      </w:r>
    </w:p>
    <w:p w:rsidR="00C93C7B" w:rsidRPr="00C93C7B" w:rsidRDefault="00C93C7B" w:rsidP="00C93C7B">
      <w:pPr>
        <w:spacing w:after="0"/>
        <w:rPr>
          <w:rFonts w:asciiTheme="minorHAnsi" w:hAnsiTheme="minorHAnsi" w:cstheme="minorHAnsi"/>
        </w:rPr>
      </w:pPr>
    </w:p>
    <w:p w:rsidR="00C93C7B" w:rsidRPr="00C93C7B" w:rsidRDefault="00C93C7B" w:rsidP="00C93C7B">
      <w:pPr>
        <w:spacing w:after="0"/>
        <w:rPr>
          <w:rFonts w:asciiTheme="minorHAnsi" w:hAnsiTheme="minorHAnsi" w:cstheme="minorHAnsi"/>
        </w:rPr>
      </w:pPr>
      <w:r w:rsidRPr="00C93C7B">
        <w:rPr>
          <w:rFonts w:asciiTheme="minorHAnsi" w:hAnsiTheme="minorHAnsi" w:cstheme="minorHAnsi"/>
        </w:rPr>
        <w:t xml:space="preserve">The school will also refuse to supply information under the </w:t>
      </w:r>
      <w:proofErr w:type="spellStart"/>
      <w:r w:rsidRPr="00C93C7B">
        <w:rPr>
          <w:rFonts w:asciiTheme="minorHAnsi" w:hAnsiTheme="minorHAnsi" w:cstheme="minorHAnsi"/>
        </w:rPr>
        <w:t>FoIA</w:t>
      </w:r>
      <w:proofErr w:type="spellEnd"/>
      <w:r w:rsidRPr="00C93C7B">
        <w:rPr>
          <w:rFonts w:asciiTheme="minorHAnsi" w:hAnsiTheme="minorHAnsi" w:cstheme="minorHAnsi"/>
        </w:rPr>
        <w:t xml:space="preserve"> where the request is considered “vexatious” or “repeated” and under the EIR, where the request is considered ‘manifestly unreasonable’.</w:t>
      </w:r>
    </w:p>
    <w:p w:rsidR="00C93C7B" w:rsidRPr="00C93C7B" w:rsidRDefault="00C93C7B" w:rsidP="00C93C7B">
      <w:pPr>
        <w:spacing w:after="0"/>
        <w:rPr>
          <w:rFonts w:asciiTheme="minorHAnsi" w:hAnsiTheme="minorHAnsi" w:cstheme="minorHAnsi"/>
        </w:rPr>
      </w:pPr>
    </w:p>
    <w:p w:rsidR="00C93C7B" w:rsidRPr="00C93C7B" w:rsidRDefault="00C93C7B" w:rsidP="00C93C7B">
      <w:pPr>
        <w:spacing w:after="0"/>
        <w:rPr>
          <w:rFonts w:asciiTheme="minorHAnsi" w:hAnsiTheme="minorHAnsi" w:cstheme="minorHAnsi"/>
          <w:b/>
        </w:rPr>
      </w:pPr>
      <w:r w:rsidRPr="00C93C7B">
        <w:rPr>
          <w:rFonts w:asciiTheme="minorHAnsi" w:hAnsiTheme="minorHAnsi" w:cstheme="minorHAnsi"/>
          <w:b/>
        </w:rPr>
        <w:t>8. Releasing a third party’s information</w:t>
      </w:r>
    </w:p>
    <w:p w:rsidR="00C93C7B" w:rsidRPr="00C93C7B" w:rsidRDefault="00C93C7B" w:rsidP="00C93C7B">
      <w:pPr>
        <w:spacing w:after="0"/>
        <w:rPr>
          <w:rFonts w:asciiTheme="minorHAnsi" w:hAnsiTheme="minorHAnsi" w:cstheme="minorHAnsi"/>
        </w:rPr>
      </w:pPr>
      <w:r w:rsidRPr="00C93C7B">
        <w:rPr>
          <w:rFonts w:asciiTheme="minorHAnsi" w:hAnsiTheme="minorHAnsi" w:cstheme="minorHAnsi"/>
        </w:rPr>
        <w:t>Where, in response to a request, information relating to a third party (either an individual or other organisation) has to be considered for release, the staff member that received the request will seek input from the school leader responsible for access to information requests prior to the release of the information.</w:t>
      </w:r>
    </w:p>
    <w:p w:rsidR="00C93C7B" w:rsidRPr="00C93C7B" w:rsidRDefault="00C93C7B" w:rsidP="00C93C7B">
      <w:pPr>
        <w:spacing w:after="0"/>
        <w:rPr>
          <w:rFonts w:asciiTheme="minorHAnsi" w:hAnsiTheme="minorHAnsi" w:cstheme="minorHAnsi"/>
        </w:rPr>
      </w:pPr>
    </w:p>
    <w:p w:rsidR="00C93C7B" w:rsidRPr="00C93C7B" w:rsidRDefault="00C93C7B" w:rsidP="00C93C7B">
      <w:pPr>
        <w:spacing w:after="0"/>
        <w:rPr>
          <w:rFonts w:asciiTheme="minorHAnsi" w:hAnsiTheme="minorHAnsi" w:cstheme="minorHAnsi"/>
        </w:rPr>
      </w:pPr>
      <w:r w:rsidRPr="00C93C7B">
        <w:rPr>
          <w:rFonts w:asciiTheme="minorHAnsi" w:hAnsiTheme="minorHAnsi" w:cstheme="minorHAnsi"/>
        </w:rPr>
        <w:t xml:space="preserve">The release of </w:t>
      </w:r>
      <w:proofErr w:type="gramStart"/>
      <w:r w:rsidRPr="00C93C7B">
        <w:rPr>
          <w:rFonts w:asciiTheme="minorHAnsi" w:hAnsiTheme="minorHAnsi" w:cstheme="minorHAnsi"/>
        </w:rPr>
        <w:t>third party</w:t>
      </w:r>
      <w:proofErr w:type="gramEnd"/>
      <w:r w:rsidRPr="00C93C7B">
        <w:rPr>
          <w:rFonts w:asciiTheme="minorHAnsi" w:hAnsiTheme="minorHAnsi" w:cstheme="minorHAnsi"/>
        </w:rPr>
        <w:t xml:space="preserve"> information will be considered carefully to prevent actions for breach of confidence or, in the case of living individuals, breaches of the DPA. Both the EIR and </w:t>
      </w:r>
      <w:proofErr w:type="spellStart"/>
      <w:r w:rsidRPr="00C93C7B">
        <w:rPr>
          <w:rFonts w:asciiTheme="minorHAnsi" w:hAnsiTheme="minorHAnsi" w:cstheme="minorHAnsi"/>
        </w:rPr>
        <w:t>FoIA</w:t>
      </w:r>
      <w:proofErr w:type="spellEnd"/>
      <w:r w:rsidRPr="00C93C7B">
        <w:rPr>
          <w:rFonts w:asciiTheme="minorHAnsi" w:hAnsiTheme="minorHAnsi" w:cstheme="minorHAnsi"/>
        </w:rPr>
        <w:t xml:space="preserve"> permit information to be withheld when its release would breach the provisions of the DPA.</w:t>
      </w:r>
    </w:p>
    <w:p w:rsidR="00C93C7B" w:rsidRPr="00C93C7B" w:rsidRDefault="00C93C7B" w:rsidP="00C93C7B">
      <w:pPr>
        <w:spacing w:after="0"/>
        <w:rPr>
          <w:rFonts w:asciiTheme="minorHAnsi" w:hAnsiTheme="minorHAnsi" w:cstheme="minorHAnsi"/>
        </w:rPr>
      </w:pPr>
    </w:p>
    <w:p w:rsidR="00C93C7B" w:rsidRPr="00C93C7B" w:rsidRDefault="00C93C7B" w:rsidP="00C93C7B">
      <w:pPr>
        <w:spacing w:after="0"/>
        <w:rPr>
          <w:rFonts w:asciiTheme="minorHAnsi" w:hAnsiTheme="minorHAnsi" w:cstheme="minorHAnsi"/>
        </w:rPr>
      </w:pPr>
      <w:r w:rsidRPr="00C93C7B">
        <w:rPr>
          <w:rFonts w:asciiTheme="minorHAnsi" w:hAnsiTheme="minorHAnsi" w:cstheme="minorHAnsi"/>
        </w:rPr>
        <w:t xml:space="preserve">When the requested information relates to a living individual and amounts to “personal data” as defined in the DPA, its disclosure could breach the DPA. Therefore, the release of </w:t>
      </w:r>
      <w:proofErr w:type="gramStart"/>
      <w:r w:rsidRPr="00C93C7B">
        <w:rPr>
          <w:rFonts w:asciiTheme="minorHAnsi" w:hAnsiTheme="minorHAnsi" w:cstheme="minorHAnsi"/>
        </w:rPr>
        <w:t>third party</w:t>
      </w:r>
      <w:proofErr w:type="gramEnd"/>
      <w:r w:rsidRPr="00C93C7B">
        <w:rPr>
          <w:rFonts w:asciiTheme="minorHAnsi" w:hAnsiTheme="minorHAnsi" w:cstheme="minorHAnsi"/>
        </w:rPr>
        <w:t xml:space="preserve"> personal information relating to living individuals will be considered in accordance with the data protection principles and, in particular, the “third party” provisions of the data protection regulations.</w:t>
      </w:r>
    </w:p>
    <w:p w:rsidR="00C93C7B" w:rsidRPr="00C93C7B" w:rsidRDefault="00C93C7B" w:rsidP="00C93C7B">
      <w:pPr>
        <w:spacing w:after="0"/>
        <w:rPr>
          <w:rFonts w:asciiTheme="minorHAnsi" w:hAnsiTheme="minorHAnsi" w:cstheme="minorHAnsi"/>
        </w:rPr>
      </w:pPr>
    </w:p>
    <w:p w:rsidR="00C93C7B" w:rsidRPr="00C93C7B" w:rsidRDefault="00C93C7B" w:rsidP="00C93C7B">
      <w:pPr>
        <w:spacing w:after="120"/>
        <w:rPr>
          <w:rFonts w:asciiTheme="minorHAnsi" w:hAnsiTheme="minorHAnsi" w:cstheme="minorHAnsi"/>
        </w:rPr>
      </w:pPr>
      <w:r w:rsidRPr="00C93C7B">
        <w:rPr>
          <w:rFonts w:asciiTheme="minorHAnsi" w:hAnsiTheme="minorHAnsi" w:cstheme="minorHAnsi"/>
        </w:rPr>
        <w:t xml:space="preserve">Where appropriate, the school will contact the individual to ask for permission to disclose the information. If consent is not obtained, either because it was not considered appropriate to approach the third party or the third party could not be contacted or consent is refused, the school will then consider if it is reasonable to disclose the information, </w:t>
      </w:r>
      <w:proofErr w:type="gramStart"/>
      <w:r w:rsidRPr="00C93C7B">
        <w:rPr>
          <w:rFonts w:asciiTheme="minorHAnsi" w:hAnsiTheme="minorHAnsi" w:cstheme="minorHAnsi"/>
        </w:rPr>
        <w:t>taking into account</w:t>
      </w:r>
      <w:proofErr w:type="gramEnd"/>
      <w:r w:rsidRPr="00C93C7B">
        <w:rPr>
          <w:rFonts w:asciiTheme="minorHAnsi" w:hAnsiTheme="minorHAnsi" w:cstheme="minorHAnsi"/>
        </w:rPr>
        <w:t>:</w:t>
      </w:r>
    </w:p>
    <w:p w:rsidR="00C93C7B" w:rsidRPr="00C93C7B" w:rsidRDefault="00C93C7B" w:rsidP="00C93C7B">
      <w:pPr>
        <w:numPr>
          <w:ilvl w:val="0"/>
          <w:numId w:val="26"/>
        </w:numPr>
        <w:spacing w:after="0"/>
        <w:ind w:left="714" w:hanging="357"/>
        <w:jc w:val="left"/>
        <w:rPr>
          <w:rFonts w:asciiTheme="minorHAnsi" w:hAnsiTheme="minorHAnsi" w:cstheme="minorHAnsi"/>
        </w:rPr>
      </w:pPr>
      <w:r w:rsidRPr="00C93C7B">
        <w:rPr>
          <w:rFonts w:asciiTheme="minorHAnsi" w:hAnsiTheme="minorHAnsi" w:cstheme="minorHAnsi"/>
        </w:rPr>
        <w:t>any duty of confidentiality owed to the third party</w:t>
      </w:r>
    </w:p>
    <w:p w:rsidR="00C93C7B" w:rsidRPr="00C93C7B" w:rsidRDefault="00C93C7B" w:rsidP="00C93C7B">
      <w:pPr>
        <w:numPr>
          <w:ilvl w:val="0"/>
          <w:numId w:val="26"/>
        </w:numPr>
        <w:spacing w:after="0"/>
        <w:ind w:left="714" w:hanging="357"/>
        <w:jc w:val="left"/>
        <w:rPr>
          <w:rFonts w:asciiTheme="minorHAnsi" w:hAnsiTheme="minorHAnsi" w:cstheme="minorHAnsi"/>
        </w:rPr>
      </w:pPr>
      <w:r w:rsidRPr="00C93C7B">
        <w:rPr>
          <w:rFonts w:asciiTheme="minorHAnsi" w:hAnsiTheme="minorHAnsi" w:cstheme="minorHAnsi"/>
        </w:rPr>
        <w:t>the steps taken to seek consent</w:t>
      </w:r>
    </w:p>
    <w:p w:rsidR="00C93C7B" w:rsidRPr="00C93C7B" w:rsidRDefault="00C93C7B" w:rsidP="00C93C7B">
      <w:pPr>
        <w:numPr>
          <w:ilvl w:val="0"/>
          <w:numId w:val="26"/>
        </w:numPr>
        <w:spacing w:after="0"/>
        <w:ind w:left="714" w:hanging="357"/>
        <w:jc w:val="left"/>
        <w:rPr>
          <w:rFonts w:asciiTheme="minorHAnsi" w:hAnsiTheme="minorHAnsi" w:cstheme="minorHAnsi"/>
        </w:rPr>
      </w:pPr>
      <w:r w:rsidRPr="00C93C7B">
        <w:rPr>
          <w:rFonts w:asciiTheme="minorHAnsi" w:hAnsiTheme="minorHAnsi" w:cstheme="minorHAnsi"/>
        </w:rPr>
        <w:t>whether the third party is able to give consent and</w:t>
      </w:r>
    </w:p>
    <w:p w:rsidR="00C93C7B" w:rsidRPr="00C93C7B" w:rsidRDefault="00C93C7B" w:rsidP="00C93C7B">
      <w:pPr>
        <w:numPr>
          <w:ilvl w:val="0"/>
          <w:numId w:val="26"/>
        </w:numPr>
        <w:spacing w:after="0"/>
        <w:ind w:left="714" w:hanging="357"/>
        <w:jc w:val="left"/>
        <w:rPr>
          <w:rFonts w:asciiTheme="minorHAnsi" w:hAnsiTheme="minorHAnsi" w:cstheme="minorHAnsi"/>
        </w:rPr>
      </w:pPr>
      <w:r w:rsidRPr="00C93C7B">
        <w:rPr>
          <w:rFonts w:asciiTheme="minorHAnsi" w:hAnsiTheme="minorHAnsi" w:cstheme="minorHAnsi"/>
        </w:rPr>
        <w:t>any express refusal of consent</w:t>
      </w:r>
    </w:p>
    <w:p w:rsidR="00C93C7B" w:rsidRPr="00C93C7B" w:rsidRDefault="00C93C7B" w:rsidP="00C93C7B">
      <w:pPr>
        <w:numPr>
          <w:ilvl w:val="0"/>
          <w:numId w:val="26"/>
        </w:numPr>
        <w:spacing w:after="0"/>
        <w:ind w:left="714" w:hanging="357"/>
        <w:jc w:val="left"/>
        <w:rPr>
          <w:rFonts w:asciiTheme="minorHAnsi" w:hAnsiTheme="minorHAnsi" w:cstheme="minorHAnsi"/>
        </w:rPr>
      </w:pPr>
      <w:r w:rsidRPr="00C93C7B">
        <w:rPr>
          <w:rFonts w:asciiTheme="minorHAnsi" w:hAnsiTheme="minorHAnsi" w:cstheme="minorHAnsi"/>
        </w:rPr>
        <w:t>whether the information is already in the public domain</w:t>
      </w:r>
    </w:p>
    <w:p w:rsidR="00C93C7B" w:rsidRPr="00C93C7B" w:rsidRDefault="00C93C7B" w:rsidP="00C93C7B">
      <w:pPr>
        <w:spacing w:after="0"/>
        <w:rPr>
          <w:rFonts w:asciiTheme="minorHAnsi" w:hAnsiTheme="minorHAnsi" w:cstheme="minorHAnsi"/>
        </w:rPr>
      </w:pPr>
    </w:p>
    <w:p w:rsidR="00C93C7B" w:rsidRPr="00C93C7B" w:rsidRDefault="00C93C7B" w:rsidP="00C93C7B">
      <w:pPr>
        <w:spacing w:after="0"/>
        <w:rPr>
          <w:rFonts w:asciiTheme="minorHAnsi" w:hAnsiTheme="minorHAnsi" w:cstheme="minorHAnsi"/>
        </w:rPr>
      </w:pPr>
      <w:r w:rsidRPr="00C93C7B">
        <w:rPr>
          <w:rFonts w:asciiTheme="minorHAnsi" w:hAnsiTheme="minorHAnsi" w:cstheme="minorHAnsi"/>
        </w:rPr>
        <w:t xml:space="preserve">The decision to disclose third party information will also </w:t>
      </w:r>
      <w:proofErr w:type="gramStart"/>
      <w:r w:rsidRPr="00C93C7B">
        <w:rPr>
          <w:rFonts w:asciiTheme="minorHAnsi" w:hAnsiTheme="minorHAnsi" w:cstheme="minorHAnsi"/>
        </w:rPr>
        <w:t>take into account</w:t>
      </w:r>
      <w:proofErr w:type="gramEnd"/>
      <w:r w:rsidRPr="00C93C7B">
        <w:rPr>
          <w:rFonts w:asciiTheme="minorHAnsi" w:hAnsiTheme="minorHAnsi" w:cstheme="minorHAnsi"/>
        </w:rPr>
        <w:t xml:space="preserve"> the impact of disclosure on the third party, relative to the impact on the applicant of withholding the information. Where the third party has been acting in an official, rather than private capacity, the school will be minded to disclose the information, although decisions will be made on a case-by-case basis.</w:t>
      </w:r>
    </w:p>
    <w:p w:rsidR="00C93C7B" w:rsidRPr="00C93C7B" w:rsidRDefault="00C93C7B" w:rsidP="00C93C7B">
      <w:pPr>
        <w:spacing w:after="0"/>
        <w:rPr>
          <w:rFonts w:asciiTheme="minorHAnsi" w:hAnsiTheme="minorHAnsi" w:cstheme="minorHAnsi"/>
        </w:rPr>
      </w:pPr>
    </w:p>
    <w:p w:rsidR="00C93C7B" w:rsidRPr="00C93C7B" w:rsidRDefault="00C93C7B" w:rsidP="00C93C7B">
      <w:pPr>
        <w:spacing w:after="0"/>
        <w:rPr>
          <w:rFonts w:asciiTheme="minorHAnsi" w:hAnsiTheme="minorHAnsi" w:cstheme="minorHAnsi"/>
        </w:rPr>
      </w:pPr>
      <w:r w:rsidRPr="00C93C7B">
        <w:rPr>
          <w:rFonts w:asciiTheme="minorHAnsi" w:hAnsiTheme="minorHAnsi" w:cstheme="minorHAnsi"/>
        </w:rPr>
        <w:t xml:space="preserve">Where the information relates to a staff member, the provisions of the DPA will still apply in many circumstances but the nature of the information will influence the school’s decision whether to release the </w:t>
      </w:r>
      <w:r w:rsidRPr="00C93C7B">
        <w:rPr>
          <w:rFonts w:asciiTheme="minorHAnsi" w:hAnsiTheme="minorHAnsi" w:cstheme="minorHAnsi"/>
        </w:rPr>
        <w:lastRenderedPageBreak/>
        <w:t xml:space="preserve">information. Where the information relates to a matter clearly private to the individual, e.g. a disciplinary hearing, the information is likely to be withheld. However, where the information relates to the member of staff acting in their official capacity, e.g. an </w:t>
      </w:r>
      <w:proofErr w:type="gramStart"/>
      <w:r w:rsidRPr="00C93C7B">
        <w:rPr>
          <w:rFonts w:asciiTheme="minorHAnsi" w:hAnsiTheme="minorHAnsi" w:cstheme="minorHAnsi"/>
        </w:rPr>
        <w:t>expenses</w:t>
      </w:r>
      <w:proofErr w:type="gramEnd"/>
      <w:r w:rsidRPr="00C93C7B">
        <w:rPr>
          <w:rFonts w:asciiTheme="minorHAnsi" w:hAnsiTheme="minorHAnsi" w:cstheme="minorHAnsi"/>
        </w:rPr>
        <w:t xml:space="preserve"> claim, the information will normally be released. The exemption relating to the release of a third party’s personal data will not be used to withhold information about administrative decisions taken by the school.</w:t>
      </w:r>
    </w:p>
    <w:p w:rsidR="00C93C7B" w:rsidRPr="00C93C7B" w:rsidRDefault="00C93C7B" w:rsidP="00C93C7B">
      <w:pPr>
        <w:spacing w:after="0"/>
        <w:rPr>
          <w:rFonts w:asciiTheme="minorHAnsi" w:hAnsiTheme="minorHAnsi" w:cstheme="minorHAnsi"/>
        </w:rPr>
      </w:pPr>
    </w:p>
    <w:p w:rsidR="00C93C7B" w:rsidRDefault="00C93C7B" w:rsidP="00C93C7B">
      <w:pPr>
        <w:spacing w:after="0"/>
        <w:rPr>
          <w:rFonts w:ascii="Calibri" w:hAnsi="Calibri" w:cs="Calibri"/>
          <w:color w:val="000000" w:themeColor="text1"/>
        </w:rPr>
      </w:pPr>
      <w:r w:rsidRPr="00C93C7B">
        <w:rPr>
          <w:rFonts w:asciiTheme="minorHAnsi" w:hAnsiTheme="minorHAnsi" w:cstheme="minorHAnsi"/>
        </w:rPr>
        <w:t xml:space="preserve">As the DPA only relates to living individuals, the exemption relating to Data Protection under both the EIR and </w:t>
      </w:r>
      <w:proofErr w:type="spellStart"/>
      <w:r w:rsidRPr="00C93C7B">
        <w:rPr>
          <w:rFonts w:asciiTheme="minorHAnsi" w:hAnsiTheme="minorHAnsi" w:cstheme="minorHAnsi"/>
        </w:rPr>
        <w:t>FoIA</w:t>
      </w:r>
      <w:proofErr w:type="spellEnd"/>
      <w:r w:rsidRPr="00C93C7B">
        <w:rPr>
          <w:rFonts w:asciiTheme="minorHAnsi" w:hAnsiTheme="minorHAnsi" w:cstheme="minorHAnsi"/>
        </w:rPr>
        <w:t xml:space="preserve"> will not apply to information held about a deceased person. Where a request might be controversial, the staff member will </w:t>
      </w:r>
      <w:r w:rsidR="00777999" w:rsidRPr="003450DE">
        <w:rPr>
          <w:rFonts w:ascii="Calibri" w:hAnsi="Calibri" w:cs="Calibri"/>
          <w:color w:val="000000" w:themeColor="text1"/>
        </w:rPr>
        <w:t>take advice from the Headteacher / Governing Body where necessary.</w:t>
      </w:r>
    </w:p>
    <w:p w:rsidR="00777999" w:rsidRPr="00C93C7B" w:rsidRDefault="00777999" w:rsidP="00C93C7B">
      <w:pPr>
        <w:spacing w:after="0"/>
        <w:rPr>
          <w:rFonts w:asciiTheme="minorHAnsi" w:hAnsiTheme="minorHAnsi" w:cstheme="minorHAnsi"/>
        </w:rPr>
      </w:pPr>
    </w:p>
    <w:p w:rsidR="00C93C7B" w:rsidRPr="00C93C7B" w:rsidRDefault="00C93C7B" w:rsidP="00C93C7B">
      <w:pPr>
        <w:spacing w:after="120"/>
        <w:rPr>
          <w:rFonts w:asciiTheme="minorHAnsi" w:hAnsiTheme="minorHAnsi" w:cstheme="minorHAnsi"/>
        </w:rPr>
      </w:pPr>
      <w:r w:rsidRPr="00C93C7B">
        <w:rPr>
          <w:rFonts w:asciiTheme="minorHAnsi" w:hAnsiTheme="minorHAnsi" w:cstheme="minorHAnsi"/>
        </w:rPr>
        <w:t>Where the third party is an organisation, rather than an individual, the data protection provisions will not apply. The school will consider consulting the third party concerning the release of their information where:</w:t>
      </w:r>
    </w:p>
    <w:p w:rsidR="00C93C7B" w:rsidRPr="00C93C7B" w:rsidRDefault="00C93C7B" w:rsidP="00C93C7B">
      <w:pPr>
        <w:numPr>
          <w:ilvl w:val="0"/>
          <w:numId w:val="27"/>
        </w:numPr>
        <w:spacing w:after="0"/>
        <w:jc w:val="left"/>
        <w:rPr>
          <w:rFonts w:asciiTheme="minorHAnsi" w:hAnsiTheme="minorHAnsi" w:cstheme="minorHAnsi"/>
        </w:rPr>
      </w:pPr>
      <w:r w:rsidRPr="00C93C7B">
        <w:rPr>
          <w:rFonts w:asciiTheme="minorHAnsi" w:hAnsiTheme="minorHAnsi" w:cstheme="minorHAnsi"/>
        </w:rPr>
        <w:t xml:space="preserve">the views of the third party may assist the school to decide whether an exemption under the Act applies to the information and </w:t>
      </w:r>
    </w:p>
    <w:p w:rsidR="00C93C7B" w:rsidRPr="00C93C7B" w:rsidRDefault="00C93C7B" w:rsidP="00C93C7B">
      <w:pPr>
        <w:numPr>
          <w:ilvl w:val="0"/>
          <w:numId w:val="27"/>
        </w:numPr>
        <w:spacing w:after="0"/>
        <w:jc w:val="left"/>
        <w:rPr>
          <w:rFonts w:asciiTheme="minorHAnsi" w:hAnsiTheme="minorHAnsi" w:cstheme="minorHAnsi"/>
        </w:rPr>
      </w:pPr>
      <w:r w:rsidRPr="00C93C7B">
        <w:rPr>
          <w:rFonts w:asciiTheme="minorHAnsi" w:hAnsiTheme="minorHAnsi" w:cstheme="minorHAnsi"/>
        </w:rPr>
        <w:t>in the event of the public interest test being applied, where the views of the third party may assist the school to decide on where the public interest lies.</w:t>
      </w:r>
    </w:p>
    <w:p w:rsidR="00C93C7B" w:rsidRPr="00C93C7B" w:rsidRDefault="00C93C7B" w:rsidP="00C93C7B">
      <w:pPr>
        <w:spacing w:after="0"/>
        <w:rPr>
          <w:rFonts w:asciiTheme="minorHAnsi" w:hAnsiTheme="minorHAnsi" w:cstheme="minorHAnsi"/>
        </w:rPr>
      </w:pPr>
    </w:p>
    <w:p w:rsidR="00C93C7B" w:rsidRPr="00C93C7B" w:rsidRDefault="00C93C7B" w:rsidP="00C93C7B">
      <w:pPr>
        <w:spacing w:after="120"/>
        <w:rPr>
          <w:rFonts w:asciiTheme="minorHAnsi" w:hAnsiTheme="minorHAnsi" w:cstheme="minorHAnsi"/>
        </w:rPr>
      </w:pPr>
      <w:r w:rsidRPr="00C93C7B">
        <w:rPr>
          <w:rFonts w:asciiTheme="minorHAnsi" w:hAnsiTheme="minorHAnsi" w:cstheme="minorHAnsi"/>
        </w:rPr>
        <w:t>Consultation will not be undertaken where:</w:t>
      </w:r>
    </w:p>
    <w:p w:rsidR="00C93C7B" w:rsidRPr="00C93C7B" w:rsidRDefault="00C93C7B" w:rsidP="00C93C7B">
      <w:pPr>
        <w:numPr>
          <w:ilvl w:val="0"/>
          <w:numId w:val="28"/>
        </w:numPr>
        <w:spacing w:after="0"/>
        <w:jc w:val="left"/>
        <w:rPr>
          <w:rFonts w:asciiTheme="minorHAnsi" w:hAnsiTheme="minorHAnsi" w:cstheme="minorHAnsi"/>
        </w:rPr>
      </w:pPr>
      <w:r w:rsidRPr="00C93C7B">
        <w:rPr>
          <w:rFonts w:asciiTheme="minorHAnsi" w:hAnsiTheme="minorHAnsi" w:cstheme="minorHAnsi"/>
        </w:rPr>
        <w:t>the school will not be disclosing the information due to some valid reason under the Act</w:t>
      </w:r>
    </w:p>
    <w:p w:rsidR="00C93C7B" w:rsidRPr="00C93C7B" w:rsidRDefault="00C93C7B" w:rsidP="00C93C7B">
      <w:pPr>
        <w:numPr>
          <w:ilvl w:val="0"/>
          <w:numId w:val="28"/>
        </w:numPr>
        <w:spacing w:after="0"/>
        <w:jc w:val="left"/>
        <w:rPr>
          <w:rFonts w:asciiTheme="minorHAnsi" w:hAnsiTheme="minorHAnsi" w:cstheme="minorHAnsi"/>
        </w:rPr>
      </w:pPr>
      <w:r w:rsidRPr="00C93C7B">
        <w:rPr>
          <w:rFonts w:asciiTheme="minorHAnsi" w:hAnsiTheme="minorHAnsi" w:cstheme="minorHAnsi"/>
        </w:rPr>
        <w:t>the school is satisfied that no exemption applies to the information and therefore cannot be withheld and</w:t>
      </w:r>
    </w:p>
    <w:p w:rsidR="00C93C7B" w:rsidRPr="00C93C7B" w:rsidRDefault="00C93C7B" w:rsidP="00C93C7B">
      <w:pPr>
        <w:numPr>
          <w:ilvl w:val="0"/>
          <w:numId w:val="28"/>
        </w:numPr>
        <w:spacing w:after="0"/>
        <w:jc w:val="left"/>
        <w:rPr>
          <w:rFonts w:asciiTheme="minorHAnsi" w:hAnsiTheme="minorHAnsi" w:cstheme="minorHAnsi"/>
        </w:rPr>
      </w:pPr>
      <w:r w:rsidRPr="00C93C7B">
        <w:rPr>
          <w:rFonts w:asciiTheme="minorHAnsi" w:hAnsiTheme="minorHAnsi" w:cstheme="minorHAnsi"/>
        </w:rPr>
        <w:t>the views of the third party will have no effect on the decision, e.g. where there is other legislation preventing disclosure.</w:t>
      </w:r>
    </w:p>
    <w:p w:rsidR="00C93C7B" w:rsidRPr="00C93C7B" w:rsidRDefault="00C93C7B" w:rsidP="00C93C7B">
      <w:pPr>
        <w:spacing w:after="0"/>
        <w:rPr>
          <w:rFonts w:asciiTheme="minorHAnsi" w:hAnsiTheme="minorHAnsi" w:cstheme="minorHAnsi"/>
        </w:rPr>
      </w:pPr>
    </w:p>
    <w:p w:rsidR="00C93C7B" w:rsidRPr="00C93C7B" w:rsidRDefault="00C93C7B" w:rsidP="00C93C7B">
      <w:pPr>
        <w:spacing w:after="0"/>
        <w:rPr>
          <w:rFonts w:asciiTheme="minorHAnsi" w:hAnsiTheme="minorHAnsi" w:cstheme="minorHAnsi"/>
        </w:rPr>
      </w:pPr>
      <w:r w:rsidRPr="00C93C7B">
        <w:rPr>
          <w:rFonts w:asciiTheme="minorHAnsi" w:hAnsiTheme="minorHAnsi" w:cstheme="minorHAnsi"/>
        </w:rPr>
        <w:t>Where input from a third party is required, the response time for the request remains the same. Therefore, it will be made clear to the third party at the outset that they have a limited time for their views to be provided and that where responses are not immediate, the decision to disclose may have to be made without their input for the school to comply with the statutory time limits in the legislation.</w:t>
      </w:r>
    </w:p>
    <w:p w:rsidR="00C93C7B" w:rsidRPr="00C93C7B" w:rsidRDefault="00C93C7B" w:rsidP="00C93C7B">
      <w:pPr>
        <w:spacing w:after="0"/>
        <w:rPr>
          <w:rFonts w:asciiTheme="minorHAnsi" w:hAnsiTheme="minorHAnsi" w:cstheme="minorHAnsi"/>
        </w:rPr>
      </w:pPr>
    </w:p>
    <w:p w:rsidR="00C93C7B" w:rsidRPr="00C93C7B" w:rsidRDefault="00C93C7B" w:rsidP="00C93C7B">
      <w:pPr>
        <w:spacing w:after="0"/>
        <w:rPr>
          <w:rFonts w:asciiTheme="minorHAnsi" w:hAnsiTheme="minorHAnsi" w:cstheme="minorHAnsi"/>
        </w:rPr>
      </w:pPr>
      <w:r w:rsidRPr="00C93C7B">
        <w:rPr>
          <w:rFonts w:asciiTheme="minorHAnsi" w:hAnsiTheme="minorHAnsi" w:cstheme="minorHAnsi"/>
        </w:rPr>
        <w:t xml:space="preserve">The school will endeavour to inform individuals and organisations submitting information that the information might be released following an information request and, where appropriate, will provide the supplier of the information an opportunity to request confidentiality or supply reasons as to why the information should be treated confidentially. Ultimately however, whatever a third party’s view it is the school’s decision whether to disclose the information. </w:t>
      </w:r>
    </w:p>
    <w:p w:rsidR="00C93C7B" w:rsidRPr="00C93C7B" w:rsidRDefault="00C93C7B" w:rsidP="00C93C7B">
      <w:pPr>
        <w:spacing w:after="0"/>
        <w:rPr>
          <w:rFonts w:asciiTheme="minorHAnsi" w:hAnsiTheme="minorHAnsi" w:cstheme="minorHAnsi"/>
        </w:rPr>
      </w:pPr>
    </w:p>
    <w:p w:rsidR="00C93C7B" w:rsidRPr="00C93C7B" w:rsidRDefault="00C93C7B" w:rsidP="00C93C7B">
      <w:pPr>
        <w:spacing w:after="120"/>
        <w:rPr>
          <w:rFonts w:asciiTheme="minorHAnsi" w:hAnsiTheme="minorHAnsi" w:cstheme="minorHAnsi"/>
          <w:b/>
        </w:rPr>
      </w:pPr>
      <w:r w:rsidRPr="00C93C7B">
        <w:rPr>
          <w:rFonts w:asciiTheme="minorHAnsi" w:hAnsiTheme="minorHAnsi" w:cstheme="minorHAnsi"/>
          <w:b/>
        </w:rPr>
        <w:t>9. Information held within contracts with the school</w:t>
      </w:r>
    </w:p>
    <w:p w:rsidR="00C93C7B" w:rsidRDefault="00C93C7B" w:rsidP="00C93C7B">
      <w:pPr>
        <w:spacing w:after="0"/>
        <w:rPr>
          <w:rFonts w:ascii="Calibri" w:hAnsi="Calibri" w:cs="Calibri"/>
          <w:color w:val="000000" w:themeColor="text1"/>
        </w:rPr>
      </w:pPr>
      <w:r w:rsidRPr="00C93C7B">
        <w:rPr>
          <w:rFonts w:asciiTheme="minorHAnsi" w:hAnsiTheme="minorHAnsi" w:cstheme="minorHAnsi"/>
        </w:rPr>
        <w:t xml:space="preserve">Any contractual information, or information obtained from organisations during the tendering process, held by the school are subject to the provisions of the </w:t>
      </w:r>
      <w:proofErr w:type="spellStart"/>
      <w:r w:rsidRPr="00C93C7B">
        <w:rPr>
          <w:rFonts w:asciiTheme="minorHAnsi" w:hAnsiTheme="minorHAnsi" w:cstheme="minorHAnsi"/>
        </w:rPr>
        <w:t>FoIA</w:t>
      </w:r>
      <w:proofErr w:type="spellEnd"/>
      <w:r w:rsidRPr="00C93C7B">
        <w:rPr>
          <w:rFonts w:asciiTheme="minorHAnsi" w:hAnsiTheme="minorHAnsi" w:cstheme="minorHAnsi"/>
        </w:rPr>
        <w:t xml:space="preserve"> and EIR. Whenever the school enters into contracts, it will seek to exclude contractual terms forbidding the disclosure of information beyond the restrictions contained in the legislation. </w:t>
      </w:r>
      <w:r w:rsidR="00777999" w:rsidRPr="003450DE">
        <w:rPr>
          <w:rFonts w:ascii="Calibri" w:hAnsi="Calibri" w:cs="Calibri"/>
          <w:color w:val="000000" w:themeColor="text1"/>
        </w:rPr>
        <w:t xml:space="preserve">We will endeavour to ensure a standard form of wording will be included in contracts to cover the impact of </w:t>
      </w:r>
      <w:proofErr w:type="spellStart"/>
      <w:r w:rsidR="00777999" w:rsidRPr="003450DE">
        <w:rPr>
          <w:rFonts w:ascii="Calibri" w:hAnsi="Calibri" w:cs="Calibri"/>
          <w:color w:val="000000" w:themeColor="text1"/>
        </w:rPr>
        <w:t>FoIA</w:t>
      </w:r>
      <w:proofErr w:type="spellEnd"/>
      <w:r w:rsidR="00777999" w:rsidRPr="003450DE">
        <w:rPr>
          <w:rFonts w:ascii="Calibri" w:hAnsi="Calibri" w:cs="Calibri"/>
          <w:color w:val="000000" w:themeColor="text1"/>
        </w:rPr>
        <w:t xml:space="preserve"> and EIR in relation to the provision of information held in contracts.</w:t>
      </w:r>
    </w:p>
    <w:p w:rsidR="00777999" w:rsidRPr="00C93C7B" w:rsidRDefault="00777999" w:rsidP="00C93C7B">
      <w:pPr>
        <w:spacing w:after="0"/>
        <w:rPr>
          <w:rFonts w:asciiTheme="minorHAnsi" w:hAnsiTheme="minorHAnsi" w:cstheme="minorHAnsi"/>
        </w:rPr>
      </w:pPr>
    </w:p>
    <w:p w:rsidR="00C93C7B" w:rsidRPr="00C93C7B" w:rsidRDefault="00C93C7B" w:rsidP="00C93C7B">
      <w:pPr>
        <w:spacing w:after="0"/>
        <w:rPr>
          <w:rFonts w:asciiTheme="minorHAnsi" w:hAnsiTheme="minorHAnsi" w:cstheme="minorHAnsi"/>
        </w:rPr>
      </w:pPr>
      <w:r w:rsidRPr="00C93C7B">
        <w:rPr>
          <w:rFonts w:asciiTheme="minorHAnsi" w:hAnsiTheme="minorHAnsi" w:cstheme="minorHAnsi"/>
        </w:rPr>
        <w:lastRenderedPageBreak/>
        <w:t xml:space="preserve">The school can withhold contractual information where its disclosure under either the </w:t>
      </w:r>
      <w:proofErr w:type="spellStart"/>
      <w:r w:rsidRPr="00C93C7B">
        <w:rPr>
          <w:rFonts w:asciiTheme="minorHAnsi" w:hAnsiTheme="minorHAnsi" w:cstheme="minorHAnsi"/>
        </w:rPr>
        <w:t>FoIA</w:t>
      </w:r>
      <w:proofErr w:type="spellEnd"/>
      <w:r w:rsidRPr="00C93C7B">
        <w:rPr>
          <w:rFonts w:asciiTheme="minorHAnsi" w:hAnsiTheme="minorHAnsi" w:cstheme="minorHAnsi"/>
        </w:rPr>
        <w:t xml:space="preserve"> or EIR could be treated as actionable breach of confidence. Where the school intends to include non-disclosure provisions in a contract, it will agree with the contractor a schedule of the contract that clearly states which information should not be disclosed.</w:t>
      </w:r>
    </w:p>
    <w:p w:rsidR="00C93C7B" w:rsidRPr="00C93C7B" w:rsidRDefault="00C93C7B" w:rsidP="00C93C7B">
      <w:pPr>
        <w:spacing w:after="0"/>
        <w:rPr>
          <w:rFonts w:asciiTheme="minorHAnsi" w:hAnsiTheme="minorHAnsi" w:cstheme="minorHAnsi"/>
        </w:rPr>
      </w:pPr>
    </w:p>
    <w:p w:rsidR="00C93C7B" w:rsidRPr="00C93C7B" w:rsidRDefault="00C93C7B" w:rsidP="00C93C7B">
      <w:pPr>
        <w:spacing w:after="0"/>
        <w:rPr>
          <w:rFonts w:asciiTheme="minorHAnsi" w:hAnsiTheme="minorHAnsi" w:cstheme="minorHAnsi"/>
        </w:rPr>
      </w:pPr>
      <w:r w:rsidRPr="00C93C7B">
        <w:rPr>
          <w:rFonts w:asciiTheme="minorHAnsi" w:hAnsiTheme="minorHAnsi" w:cstheme="minorHAnsi"/>
        </w:rPr>
        <w:t xml:space="preserve">The school will only agree to enter confidentiality clauses where the information is confidential in nature and that it is confident that the decision to restrict access to the information is a reasonable one. The school may choose to seek external advice in making this judgement. Where information is not covered by the exemption relating to information accepted in confidence, a further exemption specifically under </w:t>
      </w:r>
      <w:proofErr w:type="spellStart"/>
      <w:r w:rsidRPr="00C93C7B">
        <w:rPr>
          <w:rFonts w:asciiTheme="minorHAnsi" w:hAnsiTheme="minorHAnsi" w:cstheme="minorHAnsi"/>
        </w:rPr>
        <w:t>FoIA</w:t>
      </w:r>
      <w:proofErr w:type="spellEnd"/>
      <w:r w:rsidRPr="00C93C7B">
        <w:rPr>
          <w:rFonts w:asciiTheme="minorHAnsi" w:hAnsiTheme="minorHAnsi" w:cstheme="minorHAnsi"/>
        </w:rPr>
        <w:t xml:space="preserve"> may be relevant, relating to commercial interests. This exemption is subject to a “public interest” test. Whenever the school must consider the release of such information, it will contact the relevant organisation to obtain its opinions on the release of the information and any exemptions they may think relevant. However, the school will make the final decision relating to the disclosure of the information.</w:t>
      </w:r>
    </w:p>
    <w:p w:rsidR="00C93C7B" w:rsidRPr="00C93C7B" w:rsidRDefault="00C93C7B" w:rsidP="00C93C7B">
      <w:pPr>
        <w:spacing w:after="0"/>
        <w:rPr>
          <w:rFonts w:asciiTheme="minorHAnsi" w:hAnsiTheme="minorHAnsi" w:cstheme="minorHAnsi"/>
        </w:rPr>
      </w:pPr>
    </w:p>
    <w:p w:rsidR="00C93C7B" w:rsidRPr="00C93C7B" w:rsidRDefault="00C93C7B" w:rsidP="00C93C7B">
      <w:pPr>
        <w:spacing w:after="0"/>
        <w:rPr>
          <w:rFonts w:asciiTheme="minorHAnsi" w:hAnsiTheme="minorHAnsi" w:cstheme="minorHAnsi"/>
        </w:rPr>
      </w:pPr>
      <w:r w:rsidRPr="00C93C7B">
        <w:rPr>
          <w:rFonts w:asciiTheme="minorHAnsi" w:hAnsiTheme="minorHAnsi" w:cstheme="minorHAnsi"/>
        </w:rPr>
        <w:t xml:space="preserve">The school can also withhold information contained in contracts where any of the other exemptions listed in the </w:t>
      </w:r>
      <w:proofErr w:type="spellStart"/>
      <w:r w:rsidRPr="00C93C7B">
        <w:rPr>
          <w:rFonts w:asciiTheme="minorHAnsi" w:hAnsiTheme="minorHAnsi" w:cstheme="minorHAnsi"/>
        </w:rPr>
        <w:t>FoIA</w:t>
      </w:r>
      <w:proofErr w:type="spellEnd"/>
      <w:r w:rsidRPr="00C93C7B">
        <w:rPr>
          <w:rFonts w:asciiTheme="minorHAnsi" w:hAnsiTheme="minorHAnsi" w:cstheme="minorHAnsi"/>
        </w:rPr>
        <w:t xml:space="preserve"> or EIR are appropriate, although information will only be withheld in line with the school’s policy on the use of exemptions. All future contracts should contain a clause obliging contractors to co-operate fully and in a timely manner where assistance is requested in responding to an </w:t>
      </w:r>
      <w:proofErr w:type="spellStart"/>
      <w:r w:rsidRPr="00C93C7B">
        <w:rPr>
          <w:rFonts w:asciiTheme="minorHAnsi" w:hAnsiTheme="minorHAnsi" w:cstheme="minorHAnsi"/>
        </w:rPr>
        <w:t>FoIA</w:t>
      </w:r>
      <w:proofErr w:type="spellEnd"/>
      <w:r w:rsidRPr="00C93C7B">
        <w:rPr>
          <w:rFonts w:asciiTheme="minorHAnsi" w:hAnsiTheme="minorHAnsi" w:cstheme="minorHAnsi"/>
        </w:rPr>
        <w:t xml:space="preserve"> or EIR request.</w:t>
      </w:r>
    </w:p>
    <w:p w:rsidR="00C93C7B" w:rsidRPr="00C93C7B" w:rsidRDefault="00C93C7B" w:rsidP="00C93C7B">
      <w:pPr>
        <w:spacing w:after="0"/>
        <w:rPr>
          <w:rFonts w:asciiTheme="minorHAnsi" w:hAnsiTheme="minorHAnsi" w:cstheme="minorHAnsi"/>
        </w:rPr>
      </w:pPr>
    </w:p>
    <w:p w:rsidR="00C93C7B" w:rsidRPr="00C93C7B" w:rsidRDefault="00C93C7B" w:rsidP="00C93C7B">
      <w:pPr>
        <w:spacing w:after="120"/>
        <w:rPr>
          <w:rFonts w:asciiTheme="minorHAnsi" w:hAnsiTheme="minorHAnsi" w:cstheme="minorHAnsi"/>
          <w:b/>
        </w:rPr>
      </w:pPr>
      <w:r w:rsidRPr="00C93C7B">
        <w:rPr>
          <w:rFonts w:asciiTheme="minorHAnsi" w:hAnsiTheme="minorHAnsi" w:cstheme="minorHAnsi"/>
          <w:b/>
        </w:rPr>
        <w:t>10. Complaints procedure</w:t>
      </w:r>
    </w:p>
    <w:p w:rsidR="00C93C7B" w:rsidRPr="00C93C7B" w:rsidRDefault="00C93C7B" w:rsidP="00C93C7B">
      <w:pPr>
        <w:spacing w:after="0"/>
        <w:rPr>
          <w:rFonts w:asciiTheme="minorHAnsi" w:hAnsiTheme="minorHAnsi" w:cstheme="minorHAnsi"/>
        </w:rPr>
      </w:pPr>
      <w:r w:rsidRPr="00C93C7B">
        <w:rPr>
          <w:rFonts w:asciiTheme="minorHAnsi" w:hAnsiTheme="minorHAnsi" w:cstheme="minorHAnsi"/>
        </w:rPr>
        <w:t>Whenever the school withholds information under an exemption, or does not produce it for any other reason (e.g. it is not held), it will inform the applicant of their right to complain about the decision through the school’s complaints procedure and of the right of appeal to the Information Commissioner. Any complaint received will be dealt with in accordance with the school’s complaints procedure as detailed in its Complaints Policy. If the result of the complaints is that any decision to withhold information be overturned, the information will be supplied as soon as it is possible.</w:t>
      </w:r>
    </w:p>
    <w:p w:rsidR="00C93C7B" w:rsidRPr="00C93C7B" w:rsidRDefault="00C93C7B" w:rsidP="00C93C7B">
      <w:pPr>
        <w:spacing w:after="0"/>
        <w:rPr>
          <w:rFonts w:asciiTheme="minorHAnsi" w:hAnsiTheme="minorHAnsi" w:cstheme="minorHAnsi"/>
        </w:rPr>
      </w:pPr>
    </w:p>
    <w:p w:rsidR="00C93C7B" w:rsidRPr="00C93C7B" w:rsidRDefault="00C93C7B" w:rsidP="00C93C7B">
      <w:pPr>
        <w:spacing w:after="120"/>
        <w:rPr>
          <w:rFonts w:asciiTheme="minorHAnsi" w:hAnsiTheme="minorHAnsi" w:cstheme="minorHAnsi"/>
          <w:b/>
        </w:rPr>
      </w:pPr>
      <w:r w:rsidRPr="00C93C7B">
        <w:rPr>
          <w:rFonts w:asciiTheme="minorHAnsi" w:hAnsiTheme="minorHAnsi" w:cstheme="minorHAnsi"/>
          <w:b/>
        </w:rPr>
        <w:t>11. Requests made under the Data Protection Act and Education Regulations 2000</w:t>
      </w:r>
    </w:p>
    <w:p w:rsidR="00C93C7B" w:rsidRPr="00C93C7B" w:rsidRDefault="00C93C7B" w:rsidP="00C93C7B">
      <w:pPr>
        <w:spacing w:after="0"/>
        <w:rPr>
          <w:rFonts w:asciiTheme="minorHAnsi" w:hAnsiTheme="minorHAnsi" w:cstheme="minorHAnsi"/>
        </w:rPr>
      </w:pPr>
      <w:r w:rsidRPr="00C93C7B">
        <w:rPr>
          <w:rFonts w:asciiTheme="minorHAnsi" w:hAnsiTheme="minorHAnsi" w:cstheme="minorHAnsi"/>
        </w:rPr>
        <w:t>The DPA1998, GDPR 2017 and DPA 2018 entitle an individual to his or her ‘personal data’, as defined in the legislation, where the information is held on an automated system, such as a computer and manual files, where they amount to what is described as an “accessible record” or in a structured filing system, defined in the regulations as a “relevant filing system”.</w:t>
      </w:r>
    </w:p>
    <w:p w:rsidR="00C93C7B" w:rsidRPr="00C93C7B" w:rsidRDefault="00C93C7B" w:rsidP="00C93C7B">
      <w:pPr>
        <w:spacing w:after="0"/>
        <w:rPr>
          <w:rFonts w:asciiTheme="minorHAnsi" w:hAnsiTheme="minorHAnsi" w:cstheme="minorHAnsi"/>
        </w:rPr>
      </w:pPr>
    </w:p>
    <w:p w:rsidR="00C93C7B" w:rsidRPr="00C93C7B" w:rsidRDefault="00C93C7B" w:rsidP="00C93C7B">
      <w:pPr>
        <w:spacing w:after="0"/>
        <w:rPr>
          <w:rFonts w:asciiTheme="minorHAnsi" w:hAnsiTheme="minorHAnsi" w:cstheme="minorHAnsi"/>
        </w:rPr>
      </w:pPr>
      <w:r w:rsidRPr="00C93C7B">
        <w:rPr>
          <w:rFonts w:asciiTheme="minorHAnsi" w:hAnsiTheme="minorHAnsi" w:cstheme="minorHAnsi"/>
        </w:rPr>
        <w:t>The parental right to receive information pertaining to the “educational record” of their child should continue to be administered under the Education (Pupil Information) (England) Regulations 2000.</w:t>
      </w:r>
    </w:p>
    <w:p w:rsidR="00C93C7B" w:rsidRPr="00C93C7B" w:rsidRDefault="00C93C7B" w:rsidP="00C93C7B">
      <w:pPr>
        <w:spacing w:after="0"/>
        <w:rPr>
          <w:rFonts w:asciiTheme="minorHAnsi" w:hAnsiTheme="minorHAnsi" w:cstheme="minorHAnsi"/>
        </w:rPr>
      </w:pPr>
    </w:p>
    <w:p w:rsidR="00C93C7B" w:rsidRPr="00C93C7B" w:rsidRDefault="00C93C7B" w:rsidP="00C93C7B">
      <w:pPr>
        <w:spacing w:after="0"/>
        <w:rPr>
          <w:rFonts w:asciiTheme="minorHAnsi" w:hAnsiTheme="minorHAnsi" w:cstheme="minorHAnsi"/>
        </w:rPr>
      </w:pPr>
      <w:r w:rsidRPr="00C93C7B">
        <w:rPr>
          <w:rFonts w:asciiTheme="minorHAnsi" w:hAnsiTheme="minorHAnsi" w:cstheme="minorHAnsi"/>
        </w:rPr>
        <w:t xml:space="preserve">Whenever a request for personal data is received and is not covered by the regulations above, the request will be administered in accordance with the relevant section of the school’s </w:t>
      </w:r>
      <w:proofErr w:type="spellStart"/>
      <w:r w:rsidRPr="00C93C7B">
        <w:rPr>
          <w:rFonts w:asciiTheme="minorHAnsi" w:hAnsiTheme="minorHAnsi" w:cstheme="minorHAnsi"/>
        </w:rPr>
        <w:t>FoIA</w:t>
      </w:r>
      <w:proofErr w:type="spellEnd"/>
      <w:r w:rsidRPr="00C93C7B">
        <w:rPr>
          <w:rFonts w:asciiTheme="minorHAnsi" w:hAnsiTheme="minorHAnsi" w:cstheme="minorHAnsi"/>
        </w:rPr>
        <w:t xml:space="preserve"> operating processes.</w:t>
      </w:r>
    </w:p>
    <w:p w:rsidR="00C93C7B" w:rsidRPr="00C93C7B" w:rsidRDefault="00C93C7B" w:rsidP="00C93C7B">
      <w:pPr>
        <w:spacing w:after="0"/>
        <w:rPr>
          <w:rFonts w:asciiTheme="minorHAnsi" w:hAnsiTheme="minorHAnsi" w:cstheme="minorHAnsi"/>
        </w:rPr>
      </w:pPr>
    </w:p>
    <w:p w:rsidR="00C93C7B" w:rsidRPr="00C93C7B" w:rsidRDefault="00C93C7B" w:rsidP="00C93C7B">
      <w:pPr>
        <w:spacing w:after="0"/>
        <w:rPr>
          <w:rFonts w:asciiTheme="minorHAnsi" w:hAnsiTheme="minorHAnsi" w:cstheme="minorHAnsi"/>
        </w:rPr>
      </w:pPr>
      <w:r w:rsidRPr="00C93C7B">
        <w:rPr>
          <w:rFonts w:asciiTheme="minorHAnsi" w:hAnsiTheme="minorHAnsi" w:cstheme="minorHAnsi"/>
        </w:rPr>
        <w:t xml:space="preserve">Whenever a request is made under the data protection provisions for personal data, the school will provide the applicant with the relevant information contained within files relating to that individual that is accessible under both the DPA and </w:t>
      </w:r>
      <w:proofErr w:type="spellStart"/>
      <w:r w:rsidRPr="00C93C7B">
        <w:rPr>
          <w:rFonts w:asciiTheme="minorHAnsi" w:hAnsiTheme="minorHAnsi" w:cstheme="minorHAnsi"/>
        </w:rPr>
        <w:t>FoIA</w:t>
      </w:r>
      <w:proofErr w:type="spellEnd"/>
      <w:r w:rsidRPr="00C93C7B">
        <w:rPr>
          <w:rFonts w:asciiTheme="minorHAnsi" w:hAnsiTheme="minorHAnsi" w:cstheme="minorHAnsi"/>
        </w:rPr>
        <w:t>, subject to any exemptions.</w:t>
      </w:r>
    </w:p>
    <w:p w:rsidR="00C93C7B" w:rsidRPr="00C93C7B" w:rsidRDefault="00C93C7B" w:rsidP="00C93C7B">
      <w:pPr>
        <w:spacing w:after="0"/>
        <w:rPr>
          <w:rFonts w:asciiTheme="minorHAnsi" w:hAnsiTheme="minorHAnsi" w:cstheme="minorHAnsi"/>
        </w:rPr>
      </w:pPr>
    </w:p>
    <w:p w:rsidR="00C93C7B" w:rsidRPr="00C93C7B" w:rsidRDefault="00C93C7B" w:rsidP="00C93C7B">
      <w:pPr>
        <w:spacing w:after="0"/>
        <w:rPr>
          <w:rFonts w:asciiTheme="minorHAnsi" w:hAnsiTheme="minorHAnsi" w:cstheme="minorHAnsi"/>
        </w:rPr>
      </w:pPr>
      <w:r w:rsidRPr="00C93C7B">
        <w:rPr>
          <w:rFonts w:asciiTheme="minorHAnsi" w:hAnsiTheme="minorHAnsi" w:cstheme="minorHAnsi"/>
        </w:rPr>
        <w:lastRenderedPageBreak/>
        <w:t xml:space="preserve">Where it is not possible to remove third party information without rendering the response meaningless to the individual, the provision of </w:t>
      </w:r>
      <w:proofErr w:type="gramStart"/>
      <w:r w:rsidRPr="00C93C7B">
        <w:rPr>
          <w:rFonts w:asciiTheme="minorHAnsi" w:hAnsiTheme="minorHAnsi" w:cstheme="minorHAnsi"/>
        </w:rPr>
        <w:t>third party</w:t>
      </w:r>
      <w:proofErr w:type="gramEnd"/>
      <w:r w:rsidRPr="00C93C7B">
        <w:rPr>
          <w:rFonts w:asciiTheme="minorHAnsi" w:hAnsiTheme="minorHAnsi" w:cstheme="minorHAnsi"/>
        </w:rPr>
        <w:t xml:space="preserve"> information will be considered in line with section 8 of this policy regarding the disclosure of third party information.</w:t>
      </w:r>
    </w:p>
    <w:p w:rsidR="00C93C7B" w:rsidRPr="00C93C7B" w:rsidRDefault="00C93C7B" w:rsidP="00C93C7B">
      <w:pPr>
        <w:spacing w:after="0"/>
        <w:rPr>
          <w:rFonts w:asciiTheme="minorHAnsi" w:hAnsiTheme="minorHAnsi" w:cstheme="minorHAnsi"/>
        </w:rPr>
      </w:pPr>
    </w:p>
    <w:p w:rsidR="00C93C7B" w:rsidRPr="00C93C7B" w:rsidRDefault="00C93C7B" w:rsidP="00C93C7B">
      <w:pPr>
        <w:spacing w:after="0"/>
        <w:rPr>
          <w:rFonts w:asciiTheme="minorHAnsi" w:hAnsiTheme="minorHAnsi" w:cstheme="minorHAnsi"/>
        </w:rPr>
      </w:pPr>
      <w:r w:rsidRPr="00C93C7B">
        <w:rPr>
          <w:rFonts w:asciiTheme="minorHAnsi" w:hAnsiTheme="minorHAnsi" w:cstheme="minorHAnsi"/>
        </w:rPr>
        <w:t>Data protection regulations contain different types of exemption and therefore, whenever a member of staff is considering applying an exemption, he/she will seek the opinion of the school leader responsible for access to information requests.</w:t>
      </w:r>
    </w:p>
    <w:p w:rsidR="00C93C7B" w:rsidRPr="00C93C7B" w:rsidRDefault="00C93C7B" w:rsidP="00C93C7B">
      <w:pPr>
        <w:spacing w:after="0"/>
        <w:rPr>
          <w:rFonts w:asciiTheme="minorHAnsi" w:hAnsiTheme="minorHAnsi" w:cstheme="minorHAnsi"/>
        </w:rPr>
      </w:pPr>
    </w:p>
    <w:p w:rsidR="00C93C7B" w:rsidRPr="00C93C7B" w:rsidRDefault="00C93C7B" w:rsidP="00C93C7B">
      <w:pPr>
        <w:spacing w:after="120"/>
        <w:rPr>
          <w:rFonts w:asciiTheme="minorHAnsi" w:hAnsiTheme="minorHAnsi" w:cstheme="minorHAnsi"/>
          <w:b/>
        </w:rPr>
      </w:pPr>
      <w:r w:rsidRPr="00C93C7B">
        <w:rPr>
          <w:rFonts w:asciiTheme="minorHAnsi" w:hAnsiTheme="minorHAnsi" w:cstheme="minorHAnsi"/>
          <w:b/>
        </w:rPr>
        <w:t>12. Illegal actions</w:t>
      </w:r>
    </w:p>
    <w:p w:rsidR="00C93C7B" w:rsidRPr="00C93C7B" w:rsidRDefault="00C93C7B" w:rsidP="00C93C7B">
      <w:pPr>
        <w:spacing w:after="0"/>
        <w:rPr>
          <w:rFonts w:asciiTheme="minorHAnsi" w:hAnsiTheme="minorHAnsi" w:cstheme="minorHAnsi"/>
        </w:rPr>
      </w:pPr>
      <w:r w:rsidRPr="00C93C7B">
        <w:rPr>
          <w:rFonts w:asciiTheme="minorHAnsi" w:hAnsiTheme="minorHAnsi" w:cstheme="minorHAnsi"/>
        </w:rPr>
        <w:t xml:space="preserve">It is a criminal offence under any of the three information regimes for members of staff to alter, deface or remove any record (including e-mails) following receipt of an information request. Both the </w:t>
      </w:r>
      <w:proofErr w:type="spellStart"/>
      <w:r w:rsidRPr="00C93C7B">
        <w:rPr>
          <w:rFonts w:asciiTheme="minorHAnsi" w:hAnsiTheme="minorHAnsi" w:cstheme="minorHAnsi"/>
        </w:rPr>
        <w:t>FoIA</w:t>
      </w:r>
      <w:proofErr w:type="spellEnd"/>
      <w:r w:rsidRPr="00C93C7B">
        <w:rPr>
          <w:rFonts w:asciiTheme="minorHAnsi" w:hAnsiTheme="minorHAnsi" w:cstheme="minorHAnsi"/>
        </w:rPr>
        <w:t xml:space="preserve"> and EIR contain specific provisions to make such action a criminal offence.</w:t>
      </w:r>
    </w:p>
    <w:p w:rsidR="00C93C7B" w:rsidRPr="006540F8" w:rsidRDefault="00C93C7B" w:rsidP="00C93C7B">
      <w:pPr>
        <w:spacing w:after="0"/>
        <w:rPr>
          <w:rFonts w:ascii="Arial" w:hAnsi="Arial" w:cs="Arial"/>
          <w:sz w:val="24"/>
          <w:szCs w:val="24"/>
        </w:rPr>
      </w:pPr>
    </w:p>
    <w:p w:rsidR="00C93C7B" w:rsidRPr="007003E1" w:rsidRDefault="00C93C7B" w:rsidP="00C93C7B">
      <w:pPr>
        <w:jc w:val="left"/>
        <w:rPr>
          <w:rFonts w:ascii="Calibri" w:hAnsi="Calibri" w:cs="Calibri"/>
        </w:rPr>
      </w:pPr>
      <w:r w:rsidRPr="007003E1">
        <w:rPr>
          <w:rFonts w:ascii="Calibri" w:hAnsi="Calibri" w:cs="Calibri"/>
        </w:rPr>
        <w:t>This Policy should be read in conjunction with the following:</w:t>
      </w:r>
    </w:p>
    <w:p w:rsidR="00C93C7B" w:rsidRPr="007003E1" w:rsidRDefault="00C93C7B" w:rsidP="00C93C7B">
      <w:pPr>
        <w:autoSpaceDE w:val="0"/>
        <w:spacing w:after="120"/>
        <w:ind w:left="714" w:hanging="357"/>
        <w:contextualSpacing/>
        <w:jc w:val="left"/>
        <w:rPr>
          <w:rFonts w:ascii="Calibri" w:hAnsi="Calibri" w:cs="Calibri"/>
          <w:color w:val="000000"/>
        </w:rPr>
      </w:pPr>
      <w:r w:rsidRPr="007003E1">
        <w:rPr>
          <w:rFonts w:ascii="Calibri" w:hAnsi="Calibri" w:cs="Calibri"/>
          <w:color w:val="000000"/>
        </w:rPr>
        <w:t>Data Protection Policy</w:t>
      </w:r>
    </w:p>
    <w:p w:rsidR="00C93C7B" w:rsidRPr="007003E1" w:rsidRDefault="00C93C7B" w:rsidP="00C93C7B">
      <w:pPr>
        <w:autoSpaceDE w:val="0"/>
        <w:spacing w:after="120"/>
        <w:ind w:left="714" w:hanging="357"/>
        <w:contextualSpacing/>
        <w:jc w:val="left"/>
        <w:rPr>
          <w:rFonts w:ascii="Calibri" w:hAnsi="Calibri" w:cs="Calibri"/>
          <w:color w:val="000000"/>
        </w:rPr>
      </w:pPr>
      <w:r w:rsidRPr="007003E1">
        <w:rPr>
          <w:rFonts w:ascii="Calibri" w:hAnsi="Calibri" w:cs="Calibri"/>
          <w:color w:val="000000"/>
        </w:rPr>
        <w:t xml:space="preserve">Data Incidents and Breaches Policy </w:t>
      </w:r>
    </w:p>
    <w:p w:rsidR="00C93C7B" w:rsidRPr="007003E1" w:rsidRDefault="00C93C7B" w:rsidP="00C93C7B">
      <w:pPr>
        <w:autoSpaceDE w:val="0"/>
        <w:spacing w:after="120"/>
        <w:ind w:left="714" w:hanging="357"/>
        <w:contextualSpacing/>
        <w:jc w:val="left"/>
        <w:rPr>
          <w:rFonts w:ascii="Calibri" w:hAnsi="Calibri" w:cs="Calibri"/>
          <w:color w:val="000000"/>
        </w:rPr>
      </w:pPr>
      <w:r w:rsidRPr="007003E1">
        <w:rPr>
          <w:rFonts w:ascii="Calibri" w:hAnsi="Calibri" w:cs="Calibri"/>
          <w:color w:val="000000"/>
        </w:rPr>
        <w:t>Acceptable Use Policy</w:t>
      </w:r>
    </w:p>
    <w:p w:rsidR="00C93C7B" w:rsidRPr="007003E1" w:rsidRDefault="00C93C7B" w:rsidP="00C93C7B">
      <w:pPr>
        <w:autoSpaceDE w:val="0"/>
        <w:spacing w:after="120"/>
        <w:ind w:left="714" w:hanging="357"/>
        <w:contextualSpacing/>
        <w:jc w:val="left"/>
        <w:rPr>
          <w:rFonts w:ascii="Calibri" w:hAnsi="Calibri" w:cs="Calibri"/>
          <w:color w:val="000000"/>
        </w:rPr>
      </w:pPr>
      <w:r w:rsidRPr="007003E1">
        <w:rPr>
          <w:rFonts w:ascii="Calibri" w:hAnsi="Calibri" w:cs="Calibri"/>
          <w:color w:val="000000"/>
        </w:rPr>
        <w:t>Subject Access Request Policy</w:t>
      </w:r>
    </w:p>
    <w:p w:rsidR="00C93C7B" w:rsidRPr="007003E1" w:rsidRDefault="00C93C7B" w:rsidP="00C93C7B">
      <w:pPr>
        <w:autoSpaceDE w:val="0"/>
        <w:spacing w:after="120"/>
        <w:ind w:left="714" w:hanging="357"/>
        <w:contextualSpacing/>
        <w:jc w:val="left"/>
        <w:rPr>
          <w:rFonts w:ascii="Calibri" w:hAnsi="Calibri" w:cs="Calibri"/>
          <w:color w:val="000000"/>
        </w:rPr>
      </w:pPr>
      <w:r w:rsidRPr="007003E1">
        <w:rPr>
          <w:rFonts w:ascii="Calibri" w:hAnsi="Calibri" w:cs="Calibri"/>
          <w:color w:val="000000"/>
        </w:rPr>
        <w:t>Email Policy</w:t>
      </w:r>
    </w:p>
    <w:p w:rsidR="00C93C7B" w:rsidRPr="007003E1" w:rsidRDefault="00777999" w:rsidP="00C93C7B">
      <w:pPr>
        <w:autoSpaceDE w:val="0"/>
        <w:spacing w:after="120"/>
        <w:ind w:left="714" w:hanging="357"/>
        <w:contextualSpacing/>
        <w:jc w:val="left"/>
        <w:rPr>
          <w:rFonts w:ascii="Calibri" w:hAnsi="Calibri" w:cs="Calibri"/>
          <w:color w:val="000000"/>
        </w:rPr>
      </w:pPr>
      <w:r>
        <w:rPr>
          <w:rFonts w:ascii="Calibri" w:hAnsi="Calibri" w:cs="Calibri"/>
          <w:color w:val="000000"/>
        </w:rPr>
        <w:t xml:space="preserve">Remote Access </w:t>
      </w:r>
      <w:bookmarkStart w:id="0" w:name="_GoBack"/>
      <w:bookmarkEnd w:id="0"/>
      <w:r w:rsidR="00C93C7B" w:rsidRPr="007003E1">
        <w:rPr>
          <w:rFonts w:ascii="Calibri" w:hAnsi="Calibri" w:cs="Calibri"/>
          <w:color w:val="000000"/>
        </w:rPr>
        <w:t>Mobile Computing Policy</w:t>
      </w:r>
    </w:p>
    <w:p w:rsidR="00C93C7B" w:rsidRPr="007003E1" w:rsidRDefault="00C93C7B" w:rsidP="00C93C7B">
      <w:pPr>
        <w:autoSpaceDE w:val="0"/>
        <w:spacing w:before="120" w:after="0"/>
        <w:ind w:left="709" w:hanging="357"/>
        <w:contextualSpacing/>
        <w:jc w:val="left"/>
        <w:rPr>
          <w:rFonts w:ascii="Calibri" w:hAnsi="Calibri" w:cs="Calibri"/>
          <w:color w:val="000000"/>
        </w:rPr>
      </w:pPr>
      <w:r w:rsidRPr="007003E1">
        <w:rPr>
          <w:rFonts w:ascii="Calibri" w:hAnsi="Calibri" w:cs="Calibri"/>
          <w:color w:val="000000"/>
        </w:rPr>
        <w:t>Safeguarding Policy and Guidance</w:t>
      </w:r>
    </w:p>
    <w:p w:rsidR="0080753F" w:rsidRPr="005503F0" w:rsidRDefault="0080753F" w:rsidP="0080753F">
      <w:pPr>
        <w:rPr>
          <w:rFonts w:ascii="Calibri" w:hAnsi="Calibri" w:cs="Calibri"/>
          <w:color w:val="000000"/>
        </w:rPr>
      </w:pPr>
    </w:p>
    <w:p w:rsidR="00442A6F" w:rsidRPr="005503F0" w:rsidRDefault="00C93C7B" w:rsidP="00164890">
      <w:pPr>
        <w:rPr>
          <w:rFonts w:ascii="Calibri" w:hAnsi="Calibri" w:cs="Calibri"/>
          <w:color w:val="000000"/>
        </w:rPr>
      </w:pPr>
      <w:r>
        <w:rPr>
          <w:noProof/>
        </w:rPr>
        <w:drawing>
          <wp:anchor distT="0" distB="0" distL="114300" distR="114300" simplePos="0" relativeHeight="251658240" behindDoc="0" locked="0" layoutInCell="1" allowOverlap="1">
            <wp:simplePos x="0" y="0"/>
            <wp:positionH relativeFrom="column">
              <wp:posOffset>4989830</wp:posOffset>
            </wp:positionH>
            <wp:positionV relativeFrom="paragraph">
              <wp:posOffset>9155430</wp:posOffset>
            </wp:positionV>
            <wp:extent cx="1543050" cy="508635"/>
            <wp:effectExtent l="0" t="0" r="0" b="0"/>
            <wp:wrapNone/>
            <wp:docPr id="2" name="Picture 6" descr="C:\Users\jueade\Pictures\Logo-colou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ueade\Pictures\Logo-colour_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43050" cy="50863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442A6F" w:rsidRPr="005503F0" w:rsidSect="00C13630">
      <w:pgSz w:w="11906" w:h="16838" w:code="9"/>
      <w:pgMar w:top="1440" w:right="1134" w:bottom="1440" w:left="1276"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0403" w:rsidRDefault="008B0403" w:rsidP="001B7499">
      <w:pPr>
        <w:spacing w:after="0" w:line="240" w:lineRule="auto"/>
      </w:pPr>
      <w:r>
        <w:separator/>
      </w:r>
    </w:p>
  </w:endnote>
  <w:endnote w:type="continuationSeparator" w:id="0">
    <w:p w:rsidR="008B0403" w:rsidRDefault="008B0403" w:rsidP="001B7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0403" w:rsidRDefault="008B0403" w:rsidP="001B7499">
      <w:pPr>
        <w:spacing w:after="0" w:line="240" w:lineRule="auto"/>
      </w:pPr>
      <w:r>
        <w:separator/>
      </w:r>
    </w:p>
  </w:footnote>
  <w:footnote w:type="continuationSeparator" w:id="0">
    <w:p w:rsidR="008B0403" w:rsidRDefault="008B0403" w:rsidP="001B74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74F9"/>
    <w:multiLevelType w:val="hybridMultilevel"/>
    <w:tmpl w:val="822E867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E555F3"/>
    <w:multiLevelType w:val="hybridMultilevel"/>
    <w:tmpl w:val="D24C5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D6B86"/>
    <w:multiLevelType w:val="hybridMultilevel"/>
    <w:tmpl w:val="638662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CD1D5E"/>
    <w:multiLevelType w:val="hybridMultilevel"/>
    <w:tmpl w:val="B54CA1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6B4D78"/>
    <w:multiLevelType w:val="hybridMultilevel"/>
    <w:tmpl w:val="9522A638"/>
    <w:lvl w:ilvl="0" w:tplc="A7BE986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906BBD"/>
    <w:multiLevelType w:val="hybridMultilevel"/>
    <w:tmpl w:val="12102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176D3E"/>
    <w:multiLevelType w:val="hybridMultilevel"/>
    <w:tmpl w:val="211C93BA"/>
    <w:lvl w:ilvl="0" w:tplc="E6B2EB8C">
      <w:numFmt w:val="bullet"/>
      <w:lvlText w:val="•"/>
      <w:lvlJc w:val="left"/>
      <w:pPr>
        <w:ind w:left="1080" w:hanging="720"/>
      </w:pPr>
      <w:rPr>
        <w:rFonts w:ascii="Helvetica" w:eastAsia="Helvetic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F32CD6"/>
    <w:multiLevelType w:val="hybridMultilevel"/>
    <w:tmpl w:val="6DB07DEE"/>
    <w:lvl w:ilvl="0" w:tplc="E2961A62">
      <w:numFmt w:val="bullet"/>
      <w:lvlText w:val="•"/>
      <w:lvlJc w:val="left"/>
      <w:pPr>
        <w:ind w:left="1080" w:hanging="720"/>
      </w:pPr>
      <w:rPr>
        <w:rFonts w:ascii="Helvetica" w:eastAsia="Helvetic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0A4090"/>
    <w:multiLevelType w:val="hybridMultilevel"/>
    <w:tmpl w:val="DE1A08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486998"/>
    <w:multiLevelType w:val="hybridMultilevel"/>
    <w:tmpl w:val="7B968522"/>
    <w:lvl w:ilvl="0" w:tplc="C85860A6">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4B3186"/>
    <w:multiLevelType w:val="hybridMultilevel"/>
    <w:tmpl w:val="33EAF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745BED"/>
    <w:multiLevelType w:val="hybridMultilevel"/>
    <w:tmpl w:val="B1DCD1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7E51C1"/>
    <w:multiLevelType w:val="hybridMultilevel"/>
    <w:tmpl w:val="3252FDD8"/>
    <w:lvl w:ilvl="0" w:tplc="9D12266E">
      <w:numFmt w:val="bullet"/>
      <w:lvlText w:val="•"/>
      <w:lvlJc w:val="left"/>
      <w:pPr>
        <w:ind w:left="1080" w:hanging="720"/>
      </w:pPr>
      <w:rPr>
        <w:rFonts w:ascii="Helvetica" w:eastAsia="Helvetic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667B0D"/>
    <w:multiLevelType w:val="hybridMultilevel"/>
    <w:tmpl w:val="109467D4"/>
    <w:lvl w:ilvl="0" w:tplc="28826FE4">
      <w:numFmt w:val="bullet"/>
      <w:lvlText w:val="•"/>
      <w:lvlJc w:val="left"/>
      <w:pPr>
        <w:ind w:left="1080" w:hanging="720"/>
      </w:pPr>
      <w:rPr>
        <w:rFonts w:ascii="Helvetica" w:eastAsia="Helvetic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177B05"/>
    <w:multiLevelType w:val="hybridMultilevel"/>
    <w:tmpl w:val="6324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6860D1"/>
    <w:multiLevelType w:val="multilevel"/>
    <w:tmpl w:val="0760540E"/>
    <w:lvl w:ilvl="0">
      <w:start w:val="4"/>
      <w:numFmt w:val="decimal"/>
      <w:lvlText w:val="%1.0"/>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15:restartNumberingAfterBreak="0">
    <w:nsid w:val="34013A68"/>
    <w:multiLevelType w:val="hybridMultilevel"/>
    <w:tmpl w:val="2A6CEC20"/>
    <w:lvl w:ilvl="0" w:tplc="9D12266E">
      <w:numFmt w:val="bullet"/>
      <w:lvlText w:val="•"/>
      <w:lvlJc w:val="left"/>
      <w:pPr>
        <w:ind w:left="1080" w:hanging="720"/>
      </w:pPr>
      <w:rPr>
        <w:rFonts w:ascii="Helvetica" w:eastAsia="Helvetic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775079"/>
    <w:multiLevelType w:val="hybridMultilevel"/>
    <w:tmpl w:val="E326A3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DC3CED"/>
    <w:multiLevelType w:val="hybridMultilevel"/>
    <w:tmpl w:val="2F6E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585AE3"/>
    <w:multiLevelType w:val="hybridMultilevel"/>
    <w:tmpl w:val="25245B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073FB2"/>
    <w:multiLevelType w:val="hybridMultilevel"/>
    <w:tmpl w:val="B762A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2" w15:restartNumberingAfterBreak="0">
    <w:nsid w:val="4F541545"/>
    <w:multiLevelType w:val="hybridMultilevel"/>
    <w:tmpl w:val="712E5ED6"/>
    <w:lvl w:ilvl="0" w:tplc="9DAC7B90">
      <w:start w:val="1"/>
      <w:numFmt w:val="upperLetter"/>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133734"/>
    <w:multiLevelType w:val="hybridMultilevel"/>
    <w:tmpl w:val="EDB0FA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6413612"/>
    <w:multiLevelType w:val="hybridMultilevel"/>
    <w:tmpl w:val="54ACE1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517A1B"/>
    <w:multiLevelType w:val="hybridMultilevel"/>
    <w:tmpl w:val="7EA63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7B64A0"/>
    <w:multiLevelType w:val="hybridMultilevel"/>
    <w:tmpl w:val="3FC4A9F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02244A9"/>
    <w:multiLevelType w:val="hybridMultilevel"/>
    <w:tmpl w:val="CB669D7E"/>
    <w:lvl w:ilvl="0" w:tplc="9D12266E">
      <w:numFmt w:val="bullet"/>
      <w:lvlText w:val="•"/>
      <w:lvlJc w:val="left"/>
      <w:pPr>
        <w:ind w:left="1080" w:hanging="720"/>
      </w:pPr>
      <w:rPr>
        <w:rFonts w:ascii="Helvetica" w:eastAsia="Helvetic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A972FE"/>
    <w:multiLevelType w:val="hybridMultilevel"/>
    <w:tmpl w:val="A77E0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22"/>
  </w:num>
  <w:num w:numId="4">
    <w:abstractNumId w:val="8"/>
  </w:num>
  <w:num w:numId="5">
    <w:abstractNumId w:val="4"/>
  </w:num>
  <w:num w:numId="6">
    <w:abstractNumId w:val="11"/>
  </w:num>
  <w:num w:numId="7">
    <w:abstractNumId w:val="19"/>
  </w:num>
  <w:num w:numId="8">
    <w:abstractNumId w:val="17"/>
  </w:num>
  <w:num w:numId="9">
    <w:abstractNumId w:val="7"/>
  </w:num>
  <w:num w:numId="10">
    <w:abstractNumId w:val="26"/>
  </w:num>
  <w:num w:numId="11">
    <w:abstractNumId w:val="6"/>
  </w:num>
  <w:num w:numId="12">
    <w:abstractNumId w:val="0"/>
  </w:num>
  <w:num w:numId="13">
    <w:abstractNumId w:val="13"/>
  </w:num>
  <w:num w:numId="14">
    <w:abstractNumId w:val="2"/>
  </w:num>
  <w:num w:numId="15">
    <w:abstractNumId w:val="27"/>
  </w:num>
  <w:num w:numId="16">
    <w:abstractNumId w:val="12"/>
  </w:num>
  <w:num w:numId="17">
    <w:abstractNumId w:val="16"/>
  </w:num>
  <w:num w:numId="18">
    <w:abstractNumId w:val="23"/>
  </w:num>
  <w:num w:numId="19">
    <w:abstractNumId w:val="15"/>
  </w:num>
  <w:num w:numId="20">
    <w:abstractNumId w:val="10"/>
  </w:num>
  <w:num w:numId="21">
    <w:abstractNumId w:val="1"/>
  </w:num>
  <w:num w:numId="22">
    <w:abstractNumId w:val="3"/>
  </w:num>
  <w:num w:numId="23">
    <w:abstractNumId w:val="14"/>
  </w:num>
  <w:num w:numId="24">
    <w:abstractNumId w:val="18"/>
  </w:num>
  <w:num w:numId="25">
    <w:abstractNumId w:val="28"/>
  </w:num>
  <w:num w:numId="26">
    <w:abstractNumId w:val="20"/>
  </w:num>
  <w:num w:numId="27">
    <w:abstractNumId w:val="25"/>
  </w:num>
  <w:num w:numId="28">
    <w:abstractNumId w:val="5"/>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GB" w:vendorID="64" w:dllVersion="6" w:nlCheck="1" w:checkStyle="1"/>
  <w:activeWritingStyle w:appName="MSWord" w:lang="en-GB" w:vendorID="64" w:dllVersion="4096" w:nlCheck="1" w:checkStyle="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499"/>
    <w:rsid w:val="000005BC"/>
    <w:rsid w:val="000120F6"/>
    <w:rsid w:val="000431A1"/>
    <w:rsid w:val="0006089D"/>
    <w:rsid w:val="00087344"/>
    <w:rsid w:val="000B007A"/>
    <w:rsid w:val="000C2D5A"/>
    <w:rsid w:val="000E18D3"/>
    <w:rsid w:val="000F2543"/>
    <w:rsid w:val="00115B1C"/>
    <w:rsid w:val="001339D0"/>
    <w:rsid w:val="00142C1B"/>
    <w:rsid w:val="001516EF"/>
    <w:rsid w:val="00164890"/>
    <w:rsid w:val="00165BB1"/>
    <w:rsid w:val="001705F4"/>
    <w:rsid w:val="00173F81"/>
    <w:rsid w:val="001808BB"/>
    <w:rsid w:val="0018712A"/>
    <w:rsid w:val="001970ED"/>
    <w:rsid w:val="00197271"/>
    <w:rsid w:val="00197C35"/>
    <w:rsid w:val="001B7499"/>
    <w:rsid w:val="001D18D4"/>
    <w:rsid w:val="00205A11"/>
    <w:rsid w:val="0021036F"/>
    <w:rsid w:val="00217B12"/>
    <w:rsid w:val="00217BAE"/>
    <w:rsid w:val="002203E9"/>
    <w:rsid w:val="0023300E"/>
    <w:rsid w:val="00241659"/>
    <w:rsid w:val="0025338F"/>
    <w:rsid w:val="00253F4A"/>
    <w:rsid w:val="00272DA8"/>
    <w:rsid w:val="0027388D"/>
    <w:rsid w:val="00274407"/>
    <w:rsid w:val="002860B6"/>
    <w:rsid w:val="00287D6A"/>
    <w:rsid w:val="002A2F99"/>
    <w:rsid w:val="002A52B0"/>
    <w:rsid w:val="002B266A"/>
    <w:rsid w:val="002D6598"/>
    <w:rsid w:val="003051AA"/>
    <w:rsid w:val="00342F07"/>
    <w:rsid w:val="003450DE"/>
    <w:rsid w:val="00372F6F"/>
    <w:rsid w:val="003762CF"/>
    <w:rsid w:val="00380E60"/>
    <w:rsid w:val="003A18D7"/>
    <w:rsid w:val="003B6CF5"/>
    <w:rsid w:val="003C1FAF"/>
    <w:rsid w:val="003D6092"/>
    <w:rsid w:val="003E31EB"/>
    <w:rsid w:val="003E33F2"/>
    <w:rsid w:val="003EB0CB"/>
    <w:rsid w:val="003F3CDE"/>
    <w:rsid w:val="003F5BDB"/>
    <w:rsid w:val="00400214"/>
    <w:rsid w:val="00404480"/>
    <w:rsid w:val="00406E45"/>
    <w:rsid w:val="00410496"/>
    <w:rsid w:val="00427E48"/>
    <w:rsid w:val="00442A6F"/>
    <w:rsid w:val="004446E3"/>
    <w:rsid w:val="00447A2C"/>
    <w:rsid w:val="004606FE"/>
    <w:rsid w:val="00476DDD"/>
    <w:rsid w:val="0048203D"/>
    <w:rsid w:val="00487B4C"/>
    <w:rsid w:val="004902ED"/>
    <w:rsid w:val="004C0EA5"/>
    <w:rsid w:val="004C1FC8"/>
    <w:rsid w:val="004D32BB"/>
    <w:rsid w:val="004E2758"/>
    <w:rsid w:val="004F2CD5"/>
    <w:rsid w:val="004F5E3F"/>
    <w:rsid w:val="00513447"/>
    <w:rsid w:val="005145BD"/>
    <w:rsid w:val="00522379"/>
    <w:rsid w:val="00523A9F"/>
    <w:rsid w:val="00525582"/>
    <w:rsid w:val="0054440A"/>
    <w:rsid w:val="005503F0"/>
    <w:rsid w:val="00553B21"/>
    <w:rsid w:val="005769A4"/>
    <w:rsid w:val="0058062D"/>
    <w:rsid w:val="0059355D"/>
    <w:rsid w:val="00596FE9"/>
    <w:rsid w:val="005E6CC7"/>
    <w:rsid w:val="005F6973"/>
    <w:rsid w:val="00603A19"/>
    <w:rsid w:val="0061145B"/>
    <w:rsid w:val="0061786A"/>
    <w:rsid w:val="00642E9D"/>
    <w:rsid w:val="006462A4"/>
    <w:rsid w:val="006533C9"/>
    <w:rsid w:val="00653F66"/>
    <w:rsid w:val="006540F8"/>
    <w:rsid w:val="006575D9"/>
    <w:rsid w:val="00661C16"/>
    <w:rsid w:val="00664C70"/>
    <w:rsid w:val="00665AC9"/>
    <w:rsid w:val="00665E0D"/>
    <w:rsid w:val="00680EC9"/>
    <w:rsid w:val="00691DA3"/>
    <w:rsid w:val="006B5AE7"/>
    <w:rsid w:val="006B5BF3"/>
    <w:rsid w:val="006B6799"/>
    <w:rsid w:val="006C2A78"/>
    <w:rsid w:val="006C681B"/>
    <w:rsid w:val="006C739D"/>
    <w:rsid w:val="006D187C"/>
    <w:rsid w:val="006E2901"/>
    <w:rsid w:val="006E30D2"/>
    <w:rsid w:val="006E73C9"/>
    <w:rsid w:val="006F5AEC"/>
    <w:rsid w:val="00730589"/>
    <w:rsid w:val="007338A9"/>
    <w:rsid w:val="0075115C"/>
    <w:rsid w:val="0075297E"/>
    <w:rsid w:val="00752AF5"/>
    <w:rsid w:val="00752B6A"/>
    <w:rsid w:val="007706BC"/>
    <w:rsid w:val="0077184B"/>
    <w:rsid w:val="00774774"/>
    <w:rsid w:val="00776C2F"/>
    <w:rsid w:val="00777999"/>
    <w:rsid w:val="00787CCF"/>
    <w:rsid w:val="00793537"/>
    <w:rsid w:val="00795E2E"/>
    <w:rsid w:val="007B7520"/>
    <w:rsid w:val="007C1B83"/>
    <w:rsid w:val="007E4B98"/>
    <w:rsid w:val="007F5ED2"/>
    <w:rsid w:val="0080753F"/>
    <w:rsid w:val="008204A2"/>
    <w:rsid w:val="008512BD"/>
    <w:rsid w:val="00861F16"/>
    <w:rsid w:val="00862070"/>
    <w:rsid w:val="00897B3A"/>
    <w:rsid w:val="008B0403"/>
    <w:rsid w:val="008B737C"/>
    <w:rsid w:val="008C5E80"/>
    <w:rsid w:val="008D51AE"/>
    <w:rsid w:val="008E484A"/>
    <w:rsid w:val="008E5C5C"/>
    <w:rsid w:val="00907E51"/>
    <w:rsid w:val="009147CB"/>
    <w:rsid w:val="00915F12"/>
    <w:rsid w:val="00921D90"/>
    <w:rsid w:val="00940D17"/>
    <w:rsid w:val="009438E7"/>
    <w:rsid w:val="009506A2"/>
    <w:rsid w:val="00961C37"/>
    <w:rsid w:val="00962781"/>
    <w:rsid w:val="009958C1"/>
    <w:rsid w:val="00997B39"/>
    <w:rsid w:val="009B13A2"/>
    <w:rsid w:val="009B24AF"/>
    <w:rsid w:val="009C1307"/>
    <w:rsid w:val="009C2B56"/>
    <w:rsid w:val="009C4810"/>
    <w:rsid w:val="009D5C28"/>
    <w:rsid w:val="009F0E24"/>
    <w:rsid w:val="00A02DB4"/>
    <w:rsid w:val="00A07898"/>
    <w:rsid w:val="00A22EA8"/>
    <w:rsid w:val="00A23F2E"/>
    <w:rsid w:val="00A3299F"/>
    <w:rsid w:val="00A47067"/>
    <w:rsid w:val="00A47340"/>
    <w:rsid w:val="00A579A6"/>
    <w:rsid w:val="00A6064E"/>
    <w:rsid w:val="00A94001"/>
    <w:rsid w:val="00AA06E8"/>
    <w:rsid w:val="00AA540A"/>
    <w:rsid w:val="00AB62B2"/>
    <w:rsid w:val="00AC7322"/>
    <w:rsid w:val="00AD04B8"/>
    <w:rsid w:val="00AE79D9"/>
    <w:rsid w:val="00AF3008"/>
    <w:rsid w:val="00B04A49"/>
    <w:rsid w:val="00B147A6"/>
    <w:rsid w:val="00B27167"/>
    <w:rsid w:val="00B31C9D"/>
    <w:rsid w:val="00B458CD"/>
    <w:rsid w:val="00B47F53"/>
    <w:rsid w:val="00B578CF"/>
    <w:rsid w:val="00B72DFC"/>
    <w:rsid w:val="00B75DA4"/>
    <w:rsid w:val="00B808D8"/>
    <w:rsid w:val="00B82FC4"/>
    <w:rsid w:val="00B943CF"/>
    <w:rsid w:val="00BB0A26"/>
    <w:rsid w:val="00BC268D"/>
    <w:rsid w:val="00BC45DC"/>
    <w:rsid w:val="00BE1114"/>
    <w:rsid w:val="00C13630"/>
    <w:rsid w:val="00C24072"/>
    <w:rsid w:val="00C346F2"/>
    <w:rsid w:val="00C41BC9"/>
    <w:rsid w:val="00C50665"/>
    <w:rsid w:val="00C63D3D"/>
    <w:rsid w:val="00C776C9"/>
    <w:rsid w:val="00C91F08"/>
    <w:rsid w:val="00C93C7B"/>
    <w:rsid w:val="00C9495E"/>
    <w:rsid w:val="00CA02BA"/>
    <w:rsid w:val="00CA0ED8"/>
    <w:rsid w:val="00CA24B2"/>
    <w:rsid w:val="00CC54BD"/>
    <w:rsid w:val="00CC79FB"/>
    <w:rsid w:val="00CD1F65"/>
    <w:rsid w:val="00CD7C57"/>
    <w:rsid w:val="00CE1D07"/>
    <w:rsid w:val="00CE22F3"/>
    <w:rsid w:val="00CE4A5A"/>
    <w:rsid w:val="00CF0AE8"/>
    <w:rsid w:val="00CF3346"/>
    <w:rsid w:val="00CF4AFD"/>
    <w:rsid w:val="00D1308C"/>
    <w:rsid w:val="00D14378"/>
    <w:rsid w:val="00D21F72"/>
    <w:rsid w:val="00D3223A"/>
    <w:rsid w:val="00D34D63"/>
    <w:rsid w:val="00D36606"/>
    <w:rsid w:val="00D46E20"/>
    <w:rsid w:val="00D563A1"/>
    <w:rsid w:val="00D60A2C"/>
    <w:rsid w:val="00D73307"/>
    <w:rsid w:val="00D8592B"/>
    <w:rsid w:val="00D86C2C"/>
    <w:rsid w:val="00DB7115"/>
    <w:rsid w:val="00DB7459"/>
    <w:rsid w:val="00DC5938"/>
    <w:rsid w:val="00DC59E9"/>
    <w:rsid w:val="00DE1A12"/>
    <w:rsid w:val="00DE776E"/>
    <w:rsid w:val="00DF4F2C"/>
    <w:rsid w:val="00E00657"/>
    <w:rsid w:val="00E138A4"/>
    <w:rsid w:val="00E2059A"/>
    <w:rsid w:val="00E355C3"/>
    <w:rsid w:val="00E519D2"/>
    <w:rsid w:val="00E52BB7"/>
    <w:rsid w:val="00E577C2"/>
    <w:rsid w:val="00E63FD8"/>
    <w:rsid w:val="00E76B93"/>
    <w:rsid w:val="00E8209B"/>
    <w:rsid w:val="00EB7EBC"/>
    <w:rsid w:val="00ED3DA5"/>
    <w:rsid w:val="00ED60FD"/>
    <w:rsid w:val="00EE3CC4"/>
    <w:rsid w:val="00EF533B"/>
    <w:rsid w:val="00F02CA3"/>
    <w:rsid w:val="00F13253"/>
    <w:rsid w:val="00F2470D"/>
    <w:rsid w:val="00F305AF"/>
    <w:rsid w:val="00F44C64"/>
    <w:rsid w:val="00F61548"/>
    <w:rsid w:val="00F72E81"/>
    <w:rsid w:val="00F82590"/>
    <w:rsid w:val="00FA0FFE"/>
    <w:rsid w:val="00FB1D2E"/>
    <w:rsid w:val="00FB393C"/>
    <w:rsid w:val="00FB54A2"/>
    <w:rsid w:val="00FD0DCE"/>
    <w:rsid w:val="00FE63D4"/>
    <w:rsid w:val="00FE7441"/>
    <w:rsid w:val="00FF2450"/>
    <w:rsid w:val="00FF4FB1"/>
    <w:rsid w:val="0A7D98F5"/>
    <w:rsid w:val="191C2EAF"/>
    <w:rsid w:val="30EE2304"/>
    <w:rsid w:val="37FDBABF"/>
    <w:rsid w:val="4D508AC6"/>
    <w:rsid w:val="638FCA35"/>
    <w:rsid w:val="64B38002"/>
    <w:rsid w:val="71DA9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6C5D846E"/>
  <w15:docId w15:val="{F04F9F48-5EBF-4974-AA04-8A7E8C48E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w:eastAsia="Helvetica" w:hAnsi="Helvetic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F08"/>
    <w:pPr>
      <w:spacing w:after="160" w:line="276" w:lineRule="auto"/>
      <w:jc w:val="both"/>
    </w:pPr>
    <w:rPr>
      <w:sz w:val="22"/>
      <w:szCs w:val="22"/>
      <w:lang w:eastAsia="en-US"/>
    </w:rPr>
  </w:style>
  <w:style w:type="paragraph" w:styleId="Heading1">
    <w:name w:val="heading 1"/>
    <w:basedOn w:val="Normal"/>
    <w:next w:val="Normal"/>
    <w:link w:val="Heading1Char"/>
    <w:uiPriority w:val="9"/>
    <w:qFormat/>
    <w:rsid w:val="00691DA3"/>
    <w:pPr>
      <w:keepNext/>
      <w:keepLines/>
      <w:numPr>
        <w:numId w:val="2"/>
      </w:numPr>
      <w:spacing w:before="240" w:after="120"/>
      <w:ind w:left="357" w:hanging="357"/>
      <w:outlineLvl w:val="0"/>
    </w:pPr>
    <w:rPr>
      <w:rFonts w:eastAsia="Times New Roman"/>
      <w:b/>
      <w:bCs/>
      <w:sz w:val="28"/>
      <w:szCs w:val="28"/>
    </w:rPr>
  </w:style>
  <w:style w:type="paragraph" w:styleId="Heading2">
    <w:name w:val="heading 2"/>
    <w:basedOn w:val="Normal"/>
    <w:next w:val="Normal"/>
    <w:link w:val="Heading2Char"/>
    <w:uiPriority w:val="9"/>
    <w:unhideWhenUsed/>
    <w:qFormat/>
    <w:rsid w:val="00C91F08"/>
    <w:pPr>
      <w:keepNext/>
      <w:keepLines/>
      <w:numPr>
        <w:numId w:val="3"/>
      </w:numPr>
      <w:spacing w:before="120" w:after="0"/>
      <w:ind w:left="357" w:hanging="357"/>
      <w:outlineLvl w:val="1"/>
    </w:pPr>
    <w:rPr>
      <w:rFonts w:eastAsia="Times New Roman"/>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4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B7499"/>
    <w:rPr>
      <w:rFonts w:ascii="Tahoma" w:hAnsi="Tahoma" w:cs="Tahoma"/>
      <w:sz w:val="16"/>
      <w:szCs w:val="16"/>
    </w:rPr>
  </w:style>
  <w:style w:type="paragraph" w:styleId="Header">
    <w:name w:val="header"/>
    <w:basedOn w:val="Normal"/>
    <w:link w:val="HeaderChar"/>
    <w:uiPriority w:val="99"/>
    <w:unhideWhenUsed/>
    <w:rsid w:val="001B74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499"/>
  </w:style>
  <w:style w:type="paragraph" w:styleId="Footer">
    <w:name w:val="footer"/>
    <w:basedOn w:val="Normal"/>
    <w:link w:val="FooterChar"/>
    <w:uiPriority w:val="99"/>
    <w:unhideWhenUsed/>
    <w:rsid w:val="001B74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499"/>
  </w:style>
  <w:style w:type="paragraph" w:styleId="NormalWeb">
    <w:name w:val="Normal (Web)"/>
    <w:basedOn w:val="Normal"/>
    <w:uiPriority w:val="99"/>
    <w:semiHidden/>
    <w:unhideWhenUsed/>
    <w:rsid w:val="006B5BF3"/>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4F2CD5"/>
    <w:rPr>
      <w:color w:val="0000FF"/>
      <w:u w:val="single"/>
    </w:rPr>
  </w:style>
  <w:style w:type="character" w:customStyle="1" w:styleId="Heading1Char">
    <w:name w:val="Heading 1 Char"/>
    <w:link w:val="Heading1"/>
    <w:uiPriority w:val="9"/>
    <w:rsid w:val="00691DA3"/>
    <w:rPr>
      <w:rFonts w:ascii="Helvetica" w:eastAsia="Times New Roman" w:hAnsi="Helvetica" w:cs="Times New Roman"/>
      <w:b/>
      <w:bCs/>
      <w:sz w:val="28"/>
      <w:szCs w:val="28"/>
    </w:rPr>
  </w:style>
  <w:style w:type="character" w:customStyle="1" w:styleId="Heading2Char">
    <w:name w:val="Heading 2 Char"/>
    <w:link w:val="Heading2"/>
    <w:uiPriority w:val="9"/>
    <w:rsid w:val="00C91F08"/>
    <w:rPr>
      <w:rFonts w:eastAsia="Times New Roman" w:cs="Times New Roman"/>
      <w:bCs/>
      <w:sz w:val="20"/>
      <w:szCs w:val="26"/>
    </w:rPr>
  </w:style>
  <w:style w:type="paragraph" w:styleId="TOCHeading">
    <w:name w:val="TOC Heading"/>
    <w:basedOn w:val="Heading1"/>
    <w:next w:val="Normal"/>
    <w:uiPriority w:val="39"/>
    <w:semiHidden/>
    <w:unhideWhenUsed/>
    <w:qFormat/>
    <w:rsid w:val="00E52BB7"/>
    <w:pPr>
      <w:numPr>
        <w:numId w:val="0"/>
      </w:numPr>
      <w:outlineLvl w:val="9"/>
    </w:pPr>
    <w:rPr>
      <w:rFonts w:ascii="HelveticaNeue" w:hAnsi="HelveticaNeue"/>
      <w:color w:val="E56900"/>
      <w:lang w:val="en-US" w:eastAsia="ja-JP"/>
    </w:rPr>
  </w:style>
  <w:style w:type="paragraph" w:styleId="TOC1">
    <w:name w:val="toc 1"/>
    <w:basedOn w:val="Normal"/>
    <w:next w:val="Normal"/>
    <w:autoRedefine/>
    <w:uiPriority w:val="39"/>
    <w:unhideWhenUsed/>
    <w:rsid w:val="00F13253"/>
    <w:pPr>
      <w:tabs>
        <w:tab w:val="left" w:pos="440"/>
        <w:tab w:val="right" w:leader="dot" w:pos="9498"/>
      </w:tabs>
      <w:spacing w:after="100"/>
      <w:ind w:left="-142"/>
    </w:pPr>
  </w:style>
  <w:style w:type="paragraph" w:styleId="TOC2">
    <w:name w:val="toc 2"/>
    <w:basedOn w:val="Normal"/>
    <w:next w:val="Normal"/>
    <w:autoRedefine/>
    <w:uiPriority w:val="39"/>
    <w:unhideWhenUsed/>
    <w:rsid w:val="00F13253"/>
    <w:pPr>
      <w:tabs>
        <w:tab w:val="left" w:pos="660"/>
        <w:tab w:val="right" w:leader="dot" w:pos="9498"/>
      </w:tabs>
      <w:spacing w:after="100"/>
      <w:ind w:left="142"/>
    </w:pPr>
  </w:style>
  <w:style w:type="table" w:styleId="TableGrid">
    <w:name w:val="Table Grid"/>
    <w:basedOn w:val="TableNormal"/>
    <w:uiPriority w:val="59"/>
    <w:rsid w:val="00691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691DA3"/>
    <w:pPr>
      <w:spacing w:after="120" w:line="240" w:lineRule="auto"/>
    </w:pPr>
    <w:rPr>
      <w:rFonts w:ascii="Arial" w:eastAsia="Times New Roman" w:hAnsi="Arial"/>
      <w:sz w:val="20"/>
      <w:szCs w:val="20"/>
      <w:lang w:eastAsia="en-GB"/>
    </w:rPr>
  </w:style>
  <w:style w:type="character" w:customStyle="1" w:styleId="FootnoteTextChar">
    <w:name w:val="Footnote Text Char"/>
    <w:link w:val="FootnoteText"/>
    <w:semiHidden/>
    <w:rsid w:val="00691DA3"/>
    <w:rPr>
      <w:rFonts w:ascii="Arial" w:eastAsia="Times New Roman" w:hAnsi="Arial" w:cs="Times New Roman"/>
      <w:sz w:val="20"/>
      <w:szCs w:val="20"/>
      <w:lang w:eastAsia="en-GB"/>
    </w:rPr>
  </w:style>
  <w:style w:type="character" w:styleId="FootnoteReference">
    <w:name w:val="footnote reference"/>
    <w:semiHidden/>
    <w:rsid w:val="00691DA3"/>
    <w:rPr>
      <w:vertAlign w:val="superscript"/>
    </w:rPr>
  </w:style>
  <w:style w:type="character" w:styleId="FollowedHyperlink">
    <w:name w:val="FollowedHyperlink"/>
    <w:uiPriority w:val="99"/>
    <w:semiHidden/>
    <w:unhideWhenUsed/>
    <w:rsid w:val="00FD0DCE"/>
    <w:rPr>
      <w:color w:val="800080"/>
      <w:u w:val="single"/>
    </w:rPr>
  </w:style>
  <w:style w:type="paragraph" w:customStyle="1" w:styleId="HeadlineText">
    <w:name w:val="HeadlineText"/>
    <w:basedOn w:val="Normal"/>
    <w:qFormat/>
    <w:rsid w:val="00197C35"/>
    <w:pPr>
      <w:spacing w:after="0"/>
    </w:pPr>
    <w:rPr>
      <w:rFonts w:cs="Helvetica"/>
      <w:b/>
      <w:color w:val="000000"/>
      <w:sz w:val="28"/>
      <w:szCs w:val="26"/>
    </w:rPr>
  </w:style>
  <w:style w:type="paragraph" w:styleId="ListParagraph">
    <w:name w:val="List Paragraph"/>
    <w:basedOn w:val="Normal"/>
    <w:uiPriority w:val="34"/>
    <w:qFormat/>
    <w:rsid w:val="00BE1114"/>
    <w:pPr>
      <w:ind w:left="720"/>
      <w:contextualSpacing/>
    </w:pPr>
  </w:style>
  <w:style w:type="paragraph" w:styleId="PlainText">
    <w:name w:val="Plain Text"/>
    <w:basedOn w:val="Normal"/>
    <w:link w:val="PlainTextChar"/>
    <w:rsid w:val="00752AF5"/>
    <w:pPr>
      <w:spacing w:after="0" w:line="240" w:lineRule="auto"/>
      <w:jc w:val="left"/>
    </w:pPr>
    <w:rPr>
      <w:rFonts w:ascii="Courier New" w:eastAsia="Times New Roman" w:hAnsi="Courier New" w:cs="Courier New"/>
      <w:sz w:val="20"/>
      <w:szCs w:val="20"/>
      <w:lang w:val="en-US"/>
    </w:rPr>
  </w:style>
  <w:style w:type="character" w:customStyle="1" w:styleId="PlainTextChar">
    <w:name w:val="Plain Text Char"/>
    <w:link w:val="PlainText"/>
    <w:rsid w:val="00752AF5"/>
    <w:rPr>
      <w:rFonts w:ascii="Courier New" w:eastAsia="Times New Roman" w:hAnsi="Courier New" w:cs="Courier New"/>
      <w:sz w:val="20"/>
      <w:szCs w:val="20"/>
      <w:lang w:val="en-US"/>
    </w:rPr>
  </w:style>
  <w:style w:type="paragraph" w:customStyle="1" w:styleId="DfESBullets">
    <w:name w:val="DfESBullets"/>
    <w:basedOn w:val="Normal"/>
    <w:rsid w:val="0080753F"/>
    <w:pPr>
      <w:widowControl w:val="0"/>
      <w:numPr>
        <w:numId w:val="29"/>
      </w:numPr>
      <w:overflowPunct w:val="0"/>
      <w:autoSpaceDE w:val="0"/>
      <w:autoSpaceDN w:val="0"/>
      <w:adjustRightInd w:val="0"/>
      <w:spacing w:after="240" w:line="240" w:lineRule="auto"/>
      <w:jc w:val="left"/>
      <w:textAlignment w:val="baseline"/>
    </w:pPr>
    <w:rPr>
      <w:rFonts w:ascii="Arial" w:eastAsia="Times New Roman" w:hAnsi="Arial"/>
      <w:sz w:val="24"/>
      <w:szCs w:val="20"/>
    </w:rPr>
  </w:style>
  <w:style w:type="character" w:styleId="CommentReference">
    <w:name w:val="annotation reference"/>
    <w:uiPriority w:val="99"/>
    <w:semiHidden/>
    <w:unhideWhenUsed/>
    <w:rsid w:val="0080753F"/>
    <w:rPr>
      <w:sz w:val="16"/>
      <w:szCs w:val="16"/>
    </w:rPr>
  </w:style>
  <w:style w:type="paragraph" w:styleId="CommentText">
    <w:name w:val="annotation text"/>
    <w:basedOn w:val="Normal"/>
    <w:link w:val="CommentTextChar"/>
    <w:uiPriority w:val="99"/>
    <w:semiHidden/>
    <w:unhideWhenUsed/>
    <w:rsid w:val="0080753F"/>
    <w:pPr>
      <w:spacing w:after="0" w:line="240" w:lineRule="auto"/>
      <w:jc w:val="left"/>
    </w:pPr>
    <w:rPr>
      <w:rFonts w:ascii="Arial" w:eastAsia="Calibri" w:hAnsi="Arial"/>
      <w:sz w:val="20"/>
      <w:szCs w:val="20"/>
    </w:rPr>
  </w:style>
  <w:style w:type="character" w:customStyle="1" w:styleId="CommentTextChar">
    <w:name w:val="Comment Text Char"/>
    <w:link w:val="CommentText"/>
    <w:uiPriority w:val="99"/>
    <w:semiHidden/>
    <w:rsid w:val="0080753F"/>
    <w:rPr>
      <w:rFonts w:ascii="Arial" w:eastAsia="Calibri" w:hAnsi="Arial" w:cs="Times New Roman"/>
      <w:sz w:val="20"/>
      <w:szCs w:val="20"/>
    </w:rPr>
  </w:style>
  <w:style w:type="paragraph" w:customStyle="1" w:styleId="Numberlist">
    <w:name w:val="Number list"/>
    <w:basedOn w:val="ListParagraph"/>
    <w:link w:val="NumberlistChar"/>
    <w:qFormat/>
    <w:rsid w:val="006540F8"/>
    <w:pPr>
      <w:spacing w:after="200" w:line="288" w:lineRule="auto"/>
      <w:ind w:left="0"/>
      <w:jc w:val="left"/>
    </w:pPr>
    <w:rPr>
      <w:rFonts w:ascii="Arial" w:hAnsi="Arial"/>
    </w:rPr>
  </w:style>
  <w:style w:type="character" w:customStyle="1" w:styleId="NumberlistChar">
    <w:name w:val="Number list Char"/>
    <w:link w:val="Numberlist"/>
    <w:rsid w:val="006540F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23015">
      <w:bodyDiv w:val="1"/>
      <w:marLeft w:val="0"/>
      <w:marRight w:val="0"/>
      <w:marTop w:val="0"/>
      <w:marBottom w:val="0"/>
      <w:divBdr>
        <w:top w:val="none" w:sz="0" w:space="0" w:color="auto"/>
        <w:left w:val="none" w:sz="0" w:space="0" w:color="auto"/>
        <w:bottom w:val="none" w:sz="0" w:space="0" w:color="auto"/>
        <w:right w:val="none" w:sz="0" w:space="0" w:color="auto"/>
      </w:divBdr>
    </w:div>
    <w:div w:id="148326236">
      <w:bodyDiv w:val="1"/>
      <w:marLeft w:val="0"/>
      <w:marRight w:val="0"/>
      <w:marTop w:val="0"/>
      <w:marBottom w:val="0"/>
      <w:divBdr>
        <w:top w:val="none" w:sz="0" w:space="0" w:color="auto"/>
        <w:left w:val="none" w:sz="0" w:space="0" w:color="auto"/>
        <w:bottom w:val="none" w:sz="0" w:space="0" w:color="auto"/>
        <w:right w:val="none" w:sz="0" w:space="0" w:color="auto"/>
      </w:divBdr>
    </w:div>
    <w:div w:id="194316990">
      <w:bodyDiv w:val="1"/>
      <w:marLeft w:val="0"/>
      <w:marRight w:val="0"/>
      <w:marTop w:val="0"/>
      <w:marBottom w:val="0"/>
      <w:divBdr>
        <w:top w:val="none" w:sz="0" w:space="0" w:color="auto"/>
        <w:left w:val="none" w:sz="0" w:space="0" w:color="auto"/>
        <w:bottom w:val="none" w:sz="0" w:space="0" w:color="auto"/>
        <w:right w:val="none" w:sz="0" w:space="0" w:color="auto"/>
      </w:divBdr>
    </w:div>
    <w:div w:id="309099596">
      <w:bodyDiv w:val="1"/>
      <w:marLeft w:val="0"/>
      <w:marRight w:val="0"/>
      <w:marTop w:val="0"/>
      <w:marBottom w:val="0"/>
      <w:divBdr>
        <w:top w:val="none" w:sz="0" w:space="0" w:color="auto"/>
        <w:left w:val="none" w:sz="0" w:space="0" w:color="auto"/>
        <w:bottom w:val="none" w:sz="0" w:space="0" w:color="auto"/>
        <w:right w:val="none" w:sz="0" w:space="0" w:color="auto"/>
      </w:divBdr>
    </w:div>
    <w:div w:id="334498849">
      <w:bodyDiv w:val="1"/>
      <w:marLeft w:val="0"/>
      <w:marRight w:val="0"/>
      <w:marTop w:val="0"/>
      <w:marBottom w:val="0"/>
      <w:divBdr>
        <w:top w:val="none" w:sz="0" w:space="0" w:color="auto"/>
        <w:left w:val="none" w:sz="0" w:space="0" w:color="auto"/>
        <w:bottom w:val="none" w:sz="0" w:space="0" w:color="auto"/>
        <w:right w:val="none" w:sz="0" w:space="0" w:color="auto"/>
      </w:divBdr>
    </w:div>
    <w:div w:id="346370706">
      <w:bodyDiv w:val="1"/>
      <w:marLeft w:val="0"/>
      <w:marRight w:val="0"/>
      <w:marTop w:val="0"/>
      <w:marBottom w:val="0"/>
      <w:divBdr>
        <w:top w:val="none" w:sz="0" w:space="0" w:color="auto"/>
        <w:left w:val="none" w:sz="0" w:space="0" w:color="auto"/>
        <w:bottom w:val="none" w:sz="0" w:space="0" w:color="auto"/>
        <w:right w:val="none" w:sz="0" w:space="0" w:color="auto"/>
      </w:divBdr>
    </w:div>
    <w:div w:id="427385844">
      <w:bodyDiv w:val="1"/>
      <w:marLeft w:val="0"/>
      <w:marRight w:val="0"/>
      <w:marTop w:val="0"/>
      <w:marBottom w:val="0"/>
      <w:divBdr>
        <w:top w:val="none" w:sz="0" w:space="0" w:color="auto"/>
        <w:left w:val="none" w:sz="0" w:space="0" w:color="auto"/>
        <w:bottom w:val="none" w:sz="0" w:space="0" w:color="auto"/>
        <w:right w:val="none" w:sz="0" w:space="0" w:color="auto"/>
      </w:divBdr>
    </w:div>
    <w:div w:id="607852570">
      <w:bodyDiv w:val="1"/>
      <w:marLeft w:val="0"/>
      <w:marRight w:val="0"/>
      <w:marTop w:val="0"/>
      <w:marBottom w:val="0"/>
      <w:divBdr>
        <w:top w:val="none" w:sz="0" w:space="0" w:color="auto"/>
        <w:left w:val="none" w:sz="0" w:space="0" w:color="auto"/>
        <w:bottom w:val="none" w:sz="0" w:space="0" w:color="auto"/>
        <w:right w:val="none" w:sz="0" w:space="0" w:color="auto"/>
      </w:divBdr>
    </w:div>
    <w:div w:id="645744867">
      <w:bodyDiv w:val="1"/>
      <w:marLeft w:val="0"/>
      <w:marRight w:val="0"/>
      <w:marTop w:val="0"/>
      <w:marBottom w:val="0"/>
      <w:divBdr>
        <w:top w:val="none" w:sz="0" w:space="0" w:color="auto"/>
        <w:left w:val="none" w:sz="0" w:space="0" w:color="auto"/>
        <w:bottom w:val="none" w:sz="0" w:space="0" w:color="auto"/>
        <w:right w:val="none" w:sz="0" w:space="0" w:color="auto"/>
      </w:divBdr>
    </w:div>
    <w:div w:id="741753857">
      <w:bodyDiv w:val="1"/>
      <w:marLeft w:val="0"/>
      <w:marRight w:val="0"/>
      <w:marTop w:val="0"/>
      <w:marBottom w:val="0"/>
      <w:divBdr>
        <w:top w:val="none" w:sz="0" w:space="0" w:color="auto"/>
        <w:left w:val="none" w:sz="0" w:space="0" w:color="auto"/>
        <w:bottom w:val="none" w:sz="0" w:space="0" w:color="auto"/>
        <w:right w:val="none" w:sz="0" w:space="0" w:color="auto"/>
      </w:divBdr>
    </w:div>
    <w:div w:id="772822205">
      <w:bodyDiv w:val="1"/>
      <w:marLeft w:val="0"/>
      <w:marRight w:val="0"/>
      <w:marTop w:val="0"/>
      <w:marBottom w:val="0"/>
      <w:divBdr>
        <w:top w:val="none" w:sz="0" w:space="0" w:color="auto"/>
        <w:left w:val="none" w:sz="0" w:space="0" w:color="auto"/>
        <w:bottom w:val="none" w:sz="0" w:space="0" w:color="auto"/>
        <w:right w:val="none" w:sz="0" w:space="0" w:color="auto"/>
      </w:divBdr>
    </w:div>
    <w:div w:id="841554457">
      <w:bodyDiv w:val="1"/>
      <w:marLeft w:val="0"/>
      <w:marRight w:val="0"/>
      <w:marTop w:val="0"/>
      <w:marBottom w:val="0"/>
      <w:divBdr>
        <w:top w:val="none" w:sz="0" w:space="0" w:color="auto"/>
        <w:left w:val="none" w:sz="0" w:space="0" w:color="auto"/>
        <w:bottom w:val="none" w:sz="0" w:space="0" w:color="auto"/>
        <w:right w:val="none" w:sz="0" w:space="0" w:color="auto"/>
      </w:divBdr>
    </w:div>
    <w:div w:id="847061305">
      <w:bodyDiv w:val="1"/>
      <w:marLeft w:val="0"/>
      <w:marRight w:val="0"/>
      <w:marTop w:val="0"/>
      <w:marBottom w:val="0"/>
      <w:divBdr>
        <w:top w:val="none" w:sz="0" w:space="0" w:color="auto"/>
        <w:left w:val="none" w:sz="0" w:space="0" w:color="auto"/>
        <w:bottom w:val="none" w:sz="0" w:space="0" w:color="auto"/>
        <w:right w:val="none" w:sz="0" w:space="0" w:color="auto"/>
      </w:divBdr>
    </w:div>
    <w:div w:id="911355954">
      <w:bodyDiv w:val="1"/>
      <w:marLeft w:val="0"/>
      <w:marRight w:val="0"/>
      <w:marTop w:val="0"/>
      <w:marBottom w:val="0"/>
      <w:divBdr>
        <w:top w:val="none" w:sz="0" w:space="0" w:color="auto"/>
        <w:left w:val="none" w:sz="0" w:space="0" w:color="auto"/>
        <w:bottom w:val="none" w:sz="0" w:space="0" w:color="auto"/>
        <w:right w:val="none" w:sz="0" w:space="0" w:color="auto"/>
      </w:divBdr>
    </w:div>
    <w:div w:id="925067183">
      <w:bodyDiv w:val="1"/>
      <w:marLeft w:val="0"/>
      <w:marRight w:val="0"/>
      <w:marTop w:val="0"/>
      <w:marBottom w:val="0"/>
      <w:divBdr>
        <w:top w:val="none" w:sz="0" w:space="0" w:color="auto"/>
        <w:left w:val="none" w:sz="0" w:space="0" w:color="auto"/>
        <w:bottom w:val="none" w:sz="0" w:space="0" w:color="auto"/>
        <w:right w:val="none" w:sz="0" w:space="0" w:color="auto"/>
      </w:divBdr>
    </w:div>
    <w:div w:id="1061252367">
      <w:bodyDiv w:val="1"/>
      <w:marLeft w:val="0"/>
      <w:marRight w:val="0"/>
      <w:marTop w:val="0"/>
      <w:marBottom w:val="0"/>
      <w:divBdr>
        <w:top w:val="none" w:sz="0" w:space="0" w:color="auto"/>
        <w:left w:val="none" w:sz="0" w:space="0" w:color="auto"/>
        <w:bottom w:val="none" w:sz="0" w:space="0" w:color="auto"/>
        <w:right w:val="none" w:sz="0" w:space="0" w:color="auto"/>
      </w:divBdr>
    </w:div>
    <w:div w:id="1171874655">
      <w:bodyDiv w:val="1"/>
      <w:marLeft w:val="0"/>
      <w:marRight w:val="0"/>
      <w:marTop w:val="0"/>
      <w:marBottom w:val="0"/>
      <w:divBdr>
        <w:top w:val="none" w:sz="0" w:space="0" w:color="auto"/>
        <w:left w:val="none" w:sz="0" w:space="0" w:color="auto"/>
        <w:bottom w:val="none" w:sz="0" w:space="0" w:color="auto"/>
        <w:right w:val="none" w:sz="0" w:space="0" w:color="auto"/>
      </w:divBdr>
    </w:div>
    <w:div w:id="1240796398">
      <w:bodyDiv w:val="1"/>
      <w:marLeft w:val="0"/>
      <w:marRight w:val="0"/>
      <w:marTop w:val="0"/>
      <w:marBottom w:val="0"/>
      <w:divBdr>
        <w:top w:val="none" w:sz="0" w:space="0" w:color="auto"/>
        <w:left w:val="none" w:sz="0" w:space="0" w:color="auto"/>
        <w:bottom w:val="none" w:sz="0" w:space="0" w:color="auto"/>
        <w:right w:val="none" w:sz="0" w:space="0" w:color="auto"/>
      </w:divBdr>
    </w:div>
    <w:div w:id="1644457038">
      <w:bodyDiv w:val="1"/>
      <w:marLeft w:val="0"/>
      <w:marRight w:val="0"/>
      <w:marTop w:val="0"/>
      <w:marBottom w:val="0"/>
      <w:divBdr>
        <w:top w:val="none" w:sz="0" w:space="0" w:color="auto"/>
        <w:left w:val="none" w:sz="0" w:space="0" w:color="auto"/>
        <w:bottom w:val="none" w:sz="0" w:space="0" w:color="auto"/>
        <w:right w:val="none" w:sz="0" w:space="0" w:color="auto"/>
      </w:divBdr>
    </w:div>
    <w:div w:id="1781029208">
      <w:bodyDiv w:val="1"/>
      <w:marLeft w:val="0"/>
      <w:marRight w:val="0"/>
      <w:marTop w:val="0"/>
      <w:marBottom w:val="0"/>
      <w:divBdr>
        <w:top w:val="none" w:sz="0" w:space="0" w:color="auto"/>
        <w:left w:val="none" w:sz="0" w:space="0" w:color="auto"/>
        <w:bottom w:val="none" w:sz="0" w:space="0" w:color="auto"/>
        <w:right w:val="none" w:sz="0" w:space="0" w:color="auto"/>
      </w:divBdr>
    </w:div>
    <w:div w:id="1862275252">
      <w:bodyDiv w:val="1"/>
      <w:marLeft w:val="0"/>
      <w:marRight w:val="0"/>
      <w:marTop w:val="0"/>
      <w:marBottom w:val="0"/>
      <w:divBdr>
        <w:top w:val="none" w:sz="0" w:space="0" w:color="auto"/>
        <w:left w:val="none" w:sz="0" w:space="0" w:color="auto"/>
        <w:bottom w:val="none" w:sz="0" w:space="0" w:color="auto"/>
        <w:right w:val="none" w:sz="0" w:space="0" w:color="auto"/>
      </w:divBdr>
    </w:div>
    <w:div w:id="1945337216">
      <w:bodyDiv w:val="1"/>
      <w:marLeft w:val="0"/>
      <w:marRight w:val="0"/>
      <w:marTop w:val="0"/>
      <w:marBottom w:val="0"/>
      <w:divBdr>
        <w:top w:val="none" w:sz="0" w:space="0" w:color="auto"/>
        <w:left w:val="none" w:sz="0" w:space="0" w:color="auto"/>
        <w:bottom w:val="none" w:sz="0" w:space="0" w:color="auto"/>
        <w:right w:val="none" w:sz="0" w:space="0" w:color="auto"/>
      </w:divBdr>
    </w:div>
    <w:div w:id="203765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edia/for-organisations/documents/1635/fees_cost_of_compliance_exceeds_appropriate_limit.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1C7C7FF03C945AE9479B7AC5CC927" ma:contentTypeVersion="12" ma:contentTypeDescription="Create a new document." ma:contentTypeScope="" ma:versionID="dd11665161c8ae3266950c314812dd5b">
  <xsd:schema xmlns:xsd="http://www.w3.org/2001/XMLSchema" xmlns:xs="http://www.w3.org/2001/XMLSchema" xmlns:p="http://schemas.microsoft.com/office/2006/metadata/properties" xmlns:ns2="aa9dc963-e165-42ff-8ee3-a6a81711eec4" xmlns:ns3="587b091b-2a2a-42e5-87a9-4531ac062c1c" targetNamespace="http://schemas.microsoft.com/office/2006/metadata/properties" ma:root="true" ma:fieldsID="4d818befad00a04f1e954ff14caa6ce8" ns2:_="" ns3:_="">
    <xsd:import namespace="aa9dc963-e165-42ff-8ee3-a6a81711eec4"/>
    <xsd:import namespace="587b091b-2a2a-42e5-87a9-4531ac062c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dc963-e165-42ff-8ee3-a6a81711ee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7b091b-2a2a-42e5-87a9-4531ac062c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E8147-FB54-4CDF-845C-2E2EB783DE48}">
  <ds:schemaRefs>
    <ds:schemaRef ds:uri="aa9dc963-e165-42ff-8ee3-a6a81711eec4"/>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elements/1.1/"/>
    <ds:schemaRef ds:uri="http://purl.org/dc/terms/"/>
    <ds:schemaRef ds:uri="587b091b-2a2a-42e5-87a9-4531ac062c1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3A51EF2-018D-44FC-880B-766919FBCBAF}">
  <ds:schemaRefs>
    <ds:schemaRef ds:uri="http://schemas.microsoft.com/sharepoint/v3/contenttype/forms"/>
  </ds:schemaRefs>
</ds:datastoreItem>
</file>

<file path=customXml/itemProps3.xml><?xml version="1.0" encoding="utf-8"?>
<ds:datastoreItem xmlns:ds="http://schemas.openxmlformats.org/officeDocument/2006/customXml" ds:itemID="{D2821040-D6B0-4950-A875-61A3BF4C0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dc963-e165-42ff-8ee3-a6a81711eec4"/>
    <ds:schemaRef ds:uri="587b091b-2a2a-42e5-87a9-4531ac062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0ADEB2-3816-418E-BF33-BD90BA4B2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2981</Words>
  <Characters>16994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19936</CharactersWithSpaces>
  <SharedDoc>false</SharedDoc>
  <HLinks>
    <vt:vector size="6" baseType="variant">
      <vt:variant>
        <vt:i4>7078006</vt:i4>
      </vt:variant>
      <vt:variant>
        <vt:i4>0</vt:i4>
      </vt:variant>
      <vt:variant>
        <vt:i4>0</vt:i4>
      </vt:variant>
      <vt:variant>
        <vt:i4>5</vt:i4>
      </vt:variant>
      <vt:variant>
        <vt:lpwstr>https://ico.org.uk/media/for-organisations/documents/1635/fees_cost_of_compliance_exceeds_appropriate_limit.pdf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Eade</dc:creator>
  <cp:keywords>SFR</cp:keywords>
  <cp:lastModifiedBy>Alison Kane</cp:lastModifiedBy>
  <cp:revision>4</cp:revision>
  <cp:lastPrinted>2017-12-08T10:20:00Z</cp:lastPrinted>
  <dcterms:created xsi:type="dcterms:W3CDTF">2024-09-26T14:28:00Z</dcterms:created>
  <dcterms:modified xsi:type="dcterms:W3CDTF">2024-09-26T15:24:00Z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0x010100F711C7C7FF03C945AE9479B7AC5CC927</vt:lpwstr>
  </property>
  <property fmtid="{D5CDD505-2E9C-101B-9397-08002B2CF9AE}" pid="3" name="Order">
    <vt:r8>2471000</vt:r8>
  </property>
  <property fmtid="{D5CDD505-2E9C-101B-9397-08002B2CF9AE}" pid="4" name="ComplianceAssetId">
    <vt:lpwstr/>
  </property>
</Properties>
</file>